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C96A6" w14:textId="77777777" w:rsidR="00527682" w:rsidRDefault="00595EAA">
      <w:pPr>
        <w:spacing w:after="59" w:line="259" w:lineRule="auto"/>
        <w:ind w:left="0" w:firstLine="0"/>
        <w:jc w:val="left"/>
      </w:pPr>
      <w:r>
        <w:rPr>
          <w:rStyle w:val="Refdenotaalpie"/>
          <w:rFonts w:ascii="Bookman Old Style" w:eastAsia="Bookman Old Style" w:hAnsi="Bookman Old Style" w:cs="Bookman Old Style"/>
          <w:i/>
          <w:sz w:val="22"/>
        </w:rPr>
        <w:footnoteReference w:id="1"/>
      </w:r>
      <w:r w:rsidR="00A10BF0">
        <w:rPr>
          <w:rFonts w:ascii="Bookman Old Style" w:eastAsia="Bookman Old Style" w:hAnsi="Bookman Old Style" w:cs="Bookman Old Style"/>
          <w:i/>
          <w:sz w:val="22"/>
        </w:rPr>
        <w:t xml:space="preserve">Javier Cascante </w:t>
      </w:r>
    </w:p>
    <w:p w14:paraId="3EE67C5F" w14:textId="77777777" w:rsidR="00527682" w:rsidRDefault="00A10BF0">
      <w:pPr>
        <w:spacing w:after="24" w:line="259" w:lineRule="auto"/>
        <w:ind w:left="0" w:firstLine="0"/>
        <w:jc w:val="left"/>
      </w:pPr>
      <w:r>
        <w:rPr>
          <w:rFonts w:ascii="Bookman Old Style" w:eastAsia="Bookman Old Style" w:hAnsi="Bookman Old Style" w:cs="Bookman Old Style"/>
          <w:b/>
          <w:i/>
          <w:sz w:val="22"/>
        </w:rPr>
        <w:t>Superintendente</w:t>
      </w:r>
      <w:r>
        <w:rPr>
          <w:b/>
          <w:i/>
        </w:rPr>
        <w:t xml:space="preserve"> </w:t>
      </w:r>
    </w:p>
    <w:p w14:paraId="2B3E2A5F" w14:textId="77777777" w:rsidR="00527682" w:rsidRDefault="00A10BF0">
      <w:pPr>
        <w:spacing w:after="0" w:line="259" w:lineRule="auto"/>
        <w:ind w:left="426" w:firstLine="0"/>
        <w:jc w:val="left"/>
      </w:pPr>
      <w:r>
        <w:rPr>
          <w:b/>
          <w:i/>
        </w:rPr>
        <w:t xml:space="preserve"> </w:t>
      </w:r>
    </w:p>
    <w:p w14:paraId="0AEC3A88" w14:textId="77777777" w:rsidR="00527682" w:rsidRDefault="00A10BF0">
      <w:pPr>
        <w:spacing w:after="0" w:line="259" w:lineRule="auto"/>
        <w:ind w:left="426" w:firstLine="0"/>
        <w:jc w:val="left"/>
      </w:pPr>
      <w:r>
        <w:rPr>
          <w:b/>
          <w:i/>
        </w:rPr>
        <w:t xml:space="preserve"> </w:t>
      </w:r>
    </w:p>
    <w:p w14:paraId="238E39D7" w14:textId="77777777" w:rsidR="00527682" w:rsidRDefault="00A10BF0">
      <w:pPr>
        <w:pStyle w:val="Ttulo1"/>
        <w:ind w:left="421"/>
      </w:pPr>
      <w:r>
        <w:t xml:space="preserve">SP-A-008 </w:t>
      </w:r>
    </w:p>
    <w:p w14:paraId="224DBD0E" w14:textId="77777777" w:rsidR="00527682" w:rsidRDefault="00A10BF0">
      <w:pPr>
        <w:ind w:left="434"/>
      </w:pPr>
      <w:r>
        <w:t xml:space="preserve">20 de diciembre del 2002 </w:t>
      </w:r>
    </w:p>
    <w:p w14:paraId="1B5A94A9" w14:textId="77777777" w:rsidR="00527682" w:rsidRDefault="00A10BF0">
      <w:pPr>
        <w:spacing w:after="0" w:line="259" w:lineRule="auto"/>
        <w:ind w:left="426" w:firstLine="0"/>
        <w:jc w:val="left"/>
      </w:pPr>
      <w:r>
        <w:t xml:space="preserve"> </w:t>
      </w:r>
    </w:p>
    <w:p w14:paraId="7D05D150" w14:textId="77777777" w:rsidR="00527682" w:rsidRDefault="00A10BF0">
      <w:pPr>
        <w:spacing w:after="0" w:line="259" w:lineRule="auto"/>
        <w:ind w:left="426" w:firstLine="0"/>
        <w:jc w:val="left"/>
      </w:pPr>
      <w:r>
        <w:rPr>
          <w:sz w:val="22"/>
        </w:rPr>
        <w:t xml:space="preserve"> </w:t>
      </w:r>
    </w:p>
    <w:p w14:paraId="633BD38F" w14:textId="77777777" w:rsidR="00527682" w:rsidRDefault="00A10BF0">
      <w:pPr>
        <w:spacing w:after="0" w:line="259" w:lineRule="auto"/>
        <w:ind w:left="426" w:firstLine="0"/>
        <w:jc w:val="left"/>
      </w:pPr>
      <w:r>
        <w:t xml:space="preserve"> </w:t>
      </w:r>
    </w:p>
    <w:p w14:paraId="09300B90" w14:textId="77777777" w:rsidR="00527682" w:rsidRDefault="00A10BF0">
      <w:pPr>
        <w:ind w:left="434"/>
      </w:pPr>
      <w:r>
        <w:t xml:space="preserve">Señor </w:t>
      </w:r>
    </w:p>
    <w:p w14:paraId="13385B66" w14:textId="77777777" w:rsidR="00527682" w:rsidRDefault="00A10BF0">
      <w:pPr>
        <w:spacing w:after="0" w:line="259" w:lineRule="auto"/>
        <w:ind w:left="426" w:firstLine="0"/>
        <w:jc w:val="left"/>
      </w:pPr>
      <w:r>
        <w:rPr>
          <w:i/>
        </w:rPr>
        <w:t>Gerente</w:t>
      </w:r>
      <w:r>
        <w:t xml:space="preserve"> </w:t>
      </w:r>
      <w:r>
        <w:rPr>
          <w:i/>
        </w:rPr>
        <w:t>OPC</w:t>
      </w:r>
      <w:r>
        <w:t xml:space="preserve"> </w:t>
      </w:r>
    </w:p>
    <w:p w14:paraId="7417017D" w14:textId="77777777" w:rsidR="00527682" w:rsidRDefault="00A10BF0">
      <w:pPr>
        <w:spacing w:after="0" w:line="259" w:lineRule="auto"/>
        <w:ind w:left="426" w:firstLine="0"/>
        <w:jc w:val="left"/>
      </w:pPr>
      <w:r>
        <w:t xml:space="preserve"> </w:t>
      </w:r>
    </w:p>
    <w:p w14:paraId="31A10369" w14:textId="77777777" w:rsidR="00527682" w:rsidRDefault="00A10BF0">
      <w:pPr>
        <w:spacing w:after="0" w:line="259" w:lineRule="auto"/>
        <w:ind w:left="426" w:firstLine="0"/>
        <w:jc w:val="left"/>
      </w:pPr>
      <w:r>
        <w:t xml:space="preserve"> </w:t>
      </w:r>
    </w:p>
    <w:p w14:paraId="090C954F" w14:textId="77777777" w:rsidR="00527682" w:rsidRDefault="00A10BF0">
      <w:pPr>
        <w:ind w:left="434"/>
      </w:pPr>
      <w:r>
        <w:t xml:space="preserve">Estimada señora: </w:t>
      </w:r>
    </w:p>
    <w:p w14:paraId="42C8BA16" w14:textId="77777777" w:rsidR="00527682" w:rsidRDefault="00A10BF0">
      <w:pPr>
        <w:spacing w:after="0" w:line="259" w:lineRule="auto"/>
        <w:ind w:left="426" w:firstLine="0"/>
        <w:jc w:val="left"/>
      </w:pPr>
      <w:r>
        <w:t xml:space="preserve"> </w:t>
      </w:r>
    </w:p>
    <w:p w14:paraId="2997B549" w14:textId="77777777" w:rsidR="00527682" w:rsidRDefault="00A10BF0">
      <w:pPr>
        <w:ind w:left="434"/>
      </w:pPr>
      <w:r>
        <w:t xml:space="preserve">Mediante oficio SP-1985-2002, del 15 de noviembre pasado, esta Superintendencia sometió a consulta del medio </w:t>
      </w:r>
      <w:r>
        <w:rPr>
          <w:i/>
        </w:rPr>
        <w:t>“Disposiciones  Generales Acerca del Cálculo de La Rentabilidad de los Fondos Administrados por las Operadoras de Pensiones Complementarias y el Uso de esta Información en la Publicidad”</w:t>
      </w:r>
      <w:r>
        <w:t xml:space="preserve"> . Una vez analizadas  las observaciones recibidas se les comunica la versión definitiva de estas disposiciones, las cuales entrarán en vigencia  con la publicación de la información correspondiente al mes de diciembre. </w:t>
      </w:r>
    </w:p>
    <w:p w14:paraId="3C127C73" w14:textId="77777777" w:rsidR="00527682" w:rsidRDefault="00A10BF0">
      <w:pPr>
        <w:spacing w:after="0" w:line="259" w:lineRule="auto"/>
        <w:ind w:left="426" w:firstLine="0"/>
        <w:jc w:val="left"/>
      </w:pPr>
      <w:r>
        <w:t xml:space="preserve"> </w:t>
      </w:r>
    </w:p>
    <w:p w14:paraId="2C3D13D5" w14:textId="77777777" w:rsidR="00527682" w:rsidRDefault="00A10BF0">
      <w:pPr>
        <w:ind w:left="434"/>
      </w:pPr>
      <w:r>
        <w:t xml:space="preserve">Con respecto a las observaciones hechas al borrador propuesto, es importante señalar lo siguiente: </w:t>
      </w:r>
    </w:p>
    <w:p w14:paraId="3E2E93DE" w14:textId="77777777" w:rsidR="00527682" w:rsidRDefault="00A10BF0">
      <w:pPr>
        <w:spacing w:after="0" w:line="259" w:lineRule="auto"/>
        <w:ind w:left="426" w:firstLine="0"/>
        <w:jc w:val="left"/>
      </w:pPr>
      <w:r>
        <w:t xml:space="preserve"> </w:t>
      </w:r>
    </w:p>
    <w:p w14:paraId="1BEB7C0D" w14:textId="77777777" w:rsidR="00527682" w:rsidRDefault="00A10BF0">
      <w:pPr>
        <w:ind w:left="784" w:hanging="360"/>
      </w:pPr>
      <w:r>
        <w:rPr>
          <w:rFonts w:ascii="Wingdings" w:eastAsia="Wingdings" w:hAnsi="Wingdings" w:cs="Wingdings"/>
        </w:rPr>
        <w:t></w:t>
      </w:r>
      <w:r>
        <w:t xml:space="preserve">Lo correspondiente a la información de rentabilidad de los estados financieros será normada por acuerdo de  la Superintendencia vía circular próximamente.  </w:t>
      </w:r>
    </w:p>
    <w:p w14:paraId="3402AE61" w14:textId="77777777" w:rsidR="00527682" w:rsidRDefault="00A10BF0">
      <w:pPr>
        <w:spacing w:after="0" w:line="259" w:lineRule="auto"/>
        <w:ind w:left="426" w:firstLine="0"/>
        <w:jc w:val="left"/>
      </w:pPr>
      <w:r>
        <w:t xml:space="preserve"> </w:t>
      </w:r>
    </w:p>
    <w:p w14:paraId="65E886CB" w14:textId="77777777" w:rsidR="00527682" w:rsidRDefault="00A10BF0">
      <w:pPr>
        <w:ind w:left="784" w:hanging="360"/>
      </w:pPr>
      <w:r>
        <w:rPr>
          <w:rFonts w:ascii="Wingdings" w:eastAsia="Wingdings" w:hAnsi="Wingdings" w:cs="Wingdings"/>
        </w:rPr>
        <w:t></w:t>
      </w:r>
      <w:r>
        <w:t xml:space="preserve">La rentabilidad que se utilizará para publicidad, y que mensualmente publicará la SUPEN,  es la rentabilidad anual y la histórica, según se establece en las disposiciones adjuntas,  por lo que en la publicidad no se utilizaría la rentabilidad en términos reales. </w:t>
      </w:r>
    </w:p>
    <w:p w14:paraId="2488057F" w14:textId="77777777" w:rsidR="00527682" w:rsidRDefault="00A10BF0">
      <w:pPr>
        <w:spacing w:after="0" w:line="259" w:lineRule="auto"/>
        <w:ind w:left="426" w:firstLine="0"/>
        <w:jc w:val="left"/>
      </w:pPr>
      <w:r>
        <w:t xml:space="preserve"> </w:t>
      </w:r>
    </w:p>
    <w:p w14:paraId="11479442" w14:textId="77777777" w:rsidR="00527682" w:rsidRDefault="00A10BF0">
      <w:pPr>
        <w:ind w:left="784" w:hanging="360"/>
      </w:pPr>
      <w:r>
        <w:rPr>
          <w:rFonts w:ascii="Wingdings" w:eastAsia="Wingdings" w:hAnsi="Wingdings" w:cs="Wingdings"/>
        </w:rPr>
        <w:t></w:t>
      </w:r>
      <w:r>
        <w:t xml:space="preserve">Las fórmulas establecidas para publicidad buscan que el afiliado analice la tendencia del rendimiento de su fondo en el mediano y largo plazo y no observaciones puntuales de periodos muy cortos.    </w:t>
      </w:r>
    </w:p>
    <w:p w14:paraId="020F6785" w14:textId="77777777" w:rsidR="00527682" w:rsidRDefault="00A10BF0">
      <w:pPr>
        <w:spacing w:after="0" w:line="259" w:lineRule="auto"/>
        <w:ind w:left="426" w:firstLine="0"/>
        <w:jc w:val="left"/>
      </w:pPr>
      <w:r>
        <w:t xml:space="preserve"> </w:t>
      </w:r>
    </w:p>
    <w:p w14:paraId="24030DFE" w14:textId="77777777" w:rsidR="00527682" w:rsidRDefault="00A10BF0">
      <w:pPr>
        <w:ind w:left="434"/>
      </w:pPr>
      <w:r>
        <w:t xml:space="preserve">Cordialmente, </w:t>
      </w:r>
    </w:p>
    <w:p w14:paraId="243C975A" w14:textId="77777777" w:rsidR="00527682" w:rsidRDefault="00A10BF0">
      <w:pPr>
        <w:spacing w:after="0" w:line="259" w:lineRule="auto"/>
        <w:ind w:left="479" w:firstLine="0"/>
        <w:jc w:val="center"/>
      </w:pPr>
      <w:r>
        <w:rPr>
          <w:b/>
          <w:i/>
        </w:rPr>
        <w:t xml:space="preserve"> </w:t>
      </w:r>
    </w:p>
    <w:p w14:paraId="43872C84" w14:textId="77777777" w:rsidR="00527682" w:rsidRDefault="00A10BF0">
      <w:pPr>
        <w:spacing w:after="0" w:line="259" w:lineRule="auto"/>
        <w:ind w:left="479" w:firstLine="0"/>
        <w:jc w:val="center"/>
      </w:pPr>
      <w:r>
        <w:rPr>
          <w:b/>
          <w:i/>
        </w:rPr>
        <w:t xml:space="preserve"> </w:t>
      </w:r>
    </w:p>
    <w:p w14:paraId="33C38F1B" w14:textId="77777777" w:rsidR="00527682" w:rsidRDefault="00A10BF0">
      <w:pPr>
        <w:spacing w:after="0" w:line="259" w:lineRule="auto"/>
        <w:ind w:left="479" w:firstLine="0"/>
        <w:jc w:val="center"/>
      </w:pPr>
      <w:r>
        <w:rPr>
          <w:b/>
          <w:i/>
        </w:rPr>
        <w:t xml:space="preserve"> </w:t>
      </w:r>
    </w:p>
    <w:p w14:paraId="7055DFC3" w14:textId="77777777" w:rsidR="00527682" w:rsidRDefault="00A10BF0">
      <w:pPr>
        <w:spacing w:after="0" w:line="259" w:lineRule="auto"/>
        <w:ind w:left="479" w:firstLine="0"/>
        <w:jc w:val="center"/>
      </w:pPr>
      <w:r>
        <w:rPr>
          <w:b/>
          <w:i/>
        </w:rPr>
        <w:t xml:space="preserve"> </w:t>
      </w:r>
    </w:p>
    <w:p w14:paraId="29763DB1" w14:textId="77777777" w:rsidR="00527682" w:rsidRDefault="00A10BF0">
      <w:pPr>
        <w:spacing w:after="0" w:line="259" w:lineRule="auto"/>
        <w:ind w:left="479" w:firstLine="0"/>
        <w:jc w:val="center"/>
      </w:pPr>
      <w:r>
        <w:rPr>
          <w:b/>
          <w:i/>
        </w:rPr>
        <w:lastRenderedPageBreak/>
        <w:t xml:space="preserve"> </w:t>
      </w:r>
    </w:p>
    <w:p w14:paraId="382980E6" w14:textId="77777777" w:rsidR="00527682" w:rsidRDefault="00A10BF0">
      <w:pPr>
        <w:spacing w:after="0" w:line="259" w:lineRule="auto"/>
        <w:ind w:left="479" w:firstLine="0"/>
        <w:jc w:val="center"/>
      </w:pPr>
      <w:r>
        <w:rPr>
          <w:b/>
          <w:i/>
        </w:rPr>
        <w:t xml:space="preserve"> </w:t>
      </w:r>
    </w:p>
    <w:p w14:paraId="2B42C9FA" w14:textId="77777777" w:rsidR="00527682" w:rsidRDefault="00A10BF0">
      <w:pPr>
        <w:spacing w:after="0" w:line="259" w:lineRule="auto"/>
        <w:ind w:left="479" w:firstLine="0"/>
        <w:jc w:val="center"/>
      </w:pPr>
      <w:r>
        <w:rPr>
          <w:b/>
          <w:i/>
        </w:rPr>
        <w:t xml:space="preserve"> </w:t>
      </w:r>
    </w:p>
    <w:p w14:paraId="3C4B4E2B" w14:textId="77777777" w:rsidR="00527682" w:rsidRDefault="00A10BF0">
      <w:pPr>
        <w:spacing w:after="0" w:line="259" w:lineRule="auto"/>
        <w:ind w:left="429"/>
        <w:jc w:val="center"/>
      </w:pPr>
      <w:r>
        <w:rPr>
          <w:b/>
          <w:i/>
        </w:rPr>
        <w:t xml:space="preserve">SP-A-008 </w:t>
      </w:r>
    </w:p>
    <w:p w14:paraId="30029300" w14:textId="77777777" w:rsidR="00527682" w:rsidRDefault="00A10BF0">
      <w:pPr>
        <w:spacing w:after="0" w:line="259" w:lineRule="auto"/>
        <w:ind w:left="479" w:firstLine="0"/>
        <w:jc w:val="center"/>
      </w:pPr>
      <w:r>
        <w:rPr>
          <w:b/>
          <w:i/>
        </w:rPr>
        <w:t xml:space="preserve"> </w:t>
      </w:r>
    </w:p>
    <w:p w14:paraId="6DCE367F" w14:textId="77777777" w:rsidR="00527682" w:rsidRDefault="00A10BF0">
      <w:pPr>
        <w:spacing w:after="0" w:line="259" w:lineRule="auto"/>
        <w:ind w:left="426" w:firstLine="0"/>
        <w:jc w:val="left"/>
      </w:pPr>
      <w:r>
        <w:t xml:space="preserve"> </w:t>
      </w:r>
    </w:p>
    <w:p w14:paraId="1B0D9BA0" w14:textId="77777777" w:rsidR="00527682" w:rsidRDefault="00A10BF0">
      <w:pPr>
        <w:pStyle w:val="Ttulo1"/>
        <w:ind w:left="569"/>
      </w:pPr>
      <w:r>
        <w:t xml:space="preserve">DISPOSICIONES  GENERALES ACERCA DEL CÁLCULO DE LA RENTABILIDAD DE </w:t>
      </w:r>
    </w:p>
    <w:p w14:paraId="74181BC5" w14:textId="77777777" w:rsidR="00527682" w:rsidRDefault="00A10BF0">
      <w:pPr>
        <w:spacing w:after="0" w:line="259" w:lineRule="auto"/>
        <w:ind w:left="429" w:right="1"/>
        <w:jc w:val="center"/>
      </w:pPr>
      <w:r>
        <w:rPr>
          <w:b/>
          <w:i/>
        </w:rPr>
        <w:t xml:space="preserve">LOS FONDOS ADMINISTRADOS POR LAS OPERADORAS DE PENSIONES </w:t>
      </w:r>
    </w:p>
    <w:p w14:paraId="5BEE3BD1" w14:textId="77777777" w:rsidR="00527682" w:rsidRDefault="00A10BF0">
      <w:pPr>
        <w:spacing w:after="0" w:line="259" w:lineRule="auto"/>
        <w:ind w:left="429" w:right="1"/>
        <w:jc w:val="center"/>
      </w:pPr>
      <w:r>
        <w:rPr>
          <w:b/>
          <w:i/>
        </w:rPr>
        <w:t xml:space="preserve">COMPLEMENTARIAS Y EL USO DE ESTA INFORMACIÓN EN LA PUBLICIDAD   </w:t>
      </w:r>
    </w:p>
    <w:p w14:paraId="5D79A674" w14:textId="77777777" w:rsidR="00527682" w:rsidRDefault="00A10BF0">
      <w:pPr>
        <w:spacing w:after="0" w:line="259" w:lineRule="auto"/>
        <w:ind w:left="426" w:firstLine="0"/>
        <w:jc w:val="left"/>
      </w:pPr>
      <w:r>
        <w:rPr>
          <w:b/>
          <w:i/>
        </w:rPr>
        <w:t xml:space="preserve"> </w:t>
      </w:r>
    </w:p>
    <w:p w14:paraId="1EF38EB4" w14:textId="77777777" w:rsidR="00527682" w:rsidRDefault="00A10BF0">
      <w:pPr>
        <w:spacing w:after="0" w:line="259" w:lineRule="auto"/>
        <w:ind w:left="429" w:right="2"/>
        <w:jc w:val="center"/>
      </w:pPr>
      <w:r>
        <w:rPr>
          <w:b/>
          <w:i/>
        </w:rPr>
        <w:t xml:space="preserve">EL SUPERINTENDENTE DE PENSIONES </w:t>
      </w:r>
    </w:p>
    <w:p w14:paraId="00B64BB6" w14:textId="77777777" w:rsidR="00527682" w:rsidRDefault="00A10BF0">
      <w:pPr>
        <w:spacing w:after="0" w:line="259" w:lineRule="auto"/>
        <w:ind w:left="426" w:firstLine="0"/>
        <w:jc w:val="left"/>
      </w:pPr>
      <w:r>
        <w:t xml:space="preserve"> </w:t>
      </w:r>
    </w:p>
    <w:p w14:paraId="6C83410F" w14:textId="77777777" w:rsidR="00527682" w:rsidRDefault="00A10BF0">
      <w:pPr>
        <w:spacing w:after="0" w:line="259" w:lineRule="auto"/>
        <w:ind w:left="429" w:right="2"/>
        <w:jc w:val="center"/>
      </w:pPr>
      <w:r>
        <w:rPr>
          <w:b/>
          <w:i/>
        </w:rPr>
        <w:t xml:space="preserve">CONSIDERANDO QUE: </w:t>
      </w:r>
    </w:p>
    <w:p w14:paraId="0263C248" w14:textId="77777777" w:rsidR="00527682" w:rsidRDefault="00A10BF0">
      <w:pPr>
        <w:spacing w:after="0" w:line="259" w:lineRule="auto"/>
        <w:ind w:left="426" w:firstLine="0"/>
        <w:jc w:val="left"/>
      </w:pPr>
      <w:r>
        <w:t xml:space="preserve"> </w:t>
      </w:r>
    </w:p>
    <w:p w14:paraId="4820FD7A" w14:textId="77777777" w:rsidR="00527682" w:rsidRDefault="00A10BF0">
      <w:pPr>
        <w:spacing w:after="0" w:line="259" w:lineRule="auto"/>
        <w:ind w:left="426" w:firstLine="0"/>
        <w:jc w:val="left"/>
      </w:pPr>
      <w:r>
        <w:t xml:space="preserve"> </w:t>
      </w:r>
    </w:p>
    <w:p w14:paraId="34A90970" w14:textId="77777777" w:rsidR="00527682" w:rsidRDefault="00A10BF0">
      <w:pPr>
        <w:ind w:left="434"/>
      </w:pPr>
      <w:r>
        <w:rPr>
          <w:b/>
          <w:i/>
        </w:rPr>
        <w:t>Primero</w:t>
      </w:r>
      <w:r>
        <w:t xml:space="preserve">: Las operadoras y las organizaciones sociales autorizadas, según lo dispuesto en el artículo 42, inciso  l), de la Ley 7983, cuando realicen  publicidad deberán hacerlo con información veraz, que no induzca a equívocos ni confusiones, según las normas que para el efecto expida la Superintendencia de Pensiones.  </w:t>
      </w:r>
    </w:p>
    <w:p w14:paraId="53DBEF8B" w14:textId="77777777" w:rsidR="00527682" w:rsidRDefault="00A10BF0">
      <w:pPr>
        <w:spacing w:after="0" w:line="259" w:lineRule="auto"/>
        <w:ind w:left="426" w:firstLine="0"/>
        <w:jc w:val="left"/>
      </w:pPr>
      <w:r>
        <w:rPr>
          <w:b/>
          <w:i/>
        </w:rPr>
        <w:t xml:space="preserve"> </w:t>
      </w:r>
    </w:p>
    <w:p w14:paraId="378189E1" w14:textId="77777777" w:rsidR="00527682" w:rsidRDefault="00A10BF0">
      <w:pPr>
        <w:ind w:left="434"/>
      </w:pPr>
      <w:r>
        <w:rPr>
          <w:b/>
          <w:i/>
        </w:rPr>
        <w:t>Segundo</w:t>
      </w:r>
      <w:r>
        <w:t xml:space="preserve">:  Los incisos c) y d) de la citada norma establecen a  las entidades autorizadas la obligación de calcular el valor del fondo acumulado y su rentabilidad según lo dispuesto reglamentariamente, así como la emisión y entrega de los estados de cuenta a los afiliados.  </w:t>
      </w:r>
    </w:p>
    <w:p w14:paraId="7F93432B" w14:textId="77777777" w:rsidR="00527682" w:rsidRDefault="00A10BF0">
      <w:pPr>
        <w:spacing w:after="0" w:line="259" w:lineRule="auto"/>
        <w:ind w:left="426" w:firstLine="0"/>
        <w:jc w:val="left"/>
      </w:pPr>
      <w:r>
        <w:t xml:space="preserve"> </w:t>
      </w:r>
    </w:p>
    <w:p w14:paraId="4F84BEEF" w14:textId="77777777" w:rsidR="00527682" w:rsidRDefault="00A10BF0">
      <w:pPr>
        <w:ind w:left="434"/>
      </w:pPr>
      <w:r>
        <w:rPr>
          <w:b/>
        </w:rPr>
        <w:t>Tercero:</w:t>
      </w:r>
      <w:r>
        <w:t xml:space="preserve">   Los incisos s) y v), del artículo 38 de la Ley 7523, del Régimen Privado de Pensiones Complementarias y sus reformas establecen como atribuciones del Superintendente de Pensiones vigilar porque toda publicidad  de las actividades del ente supervisado, de los fondos que administra y los planes que ofrece, esté dirigida a proporcionar información que no induzca a equívocos ni confusiones. Además, el superintendente deberá suministrar al público la más amplia información sobre los entes supervisados y la situación del sector. </w:t>
      </w:r>
    </w:p>
    <w:p w14:paraId="329DA979" w14:textId="77777777" w:rsidR="00527682" w:rsidRDefault="00A10BF0">
      <w:pPr>
        <w:spacing w:after="0" w:line="259" w:lineRule="auto"/>
        <w:ind w:left="426" w:firstLine="0"/>
        <w:jc w:val="left"/>
      </w:pPr>
      <w:r>
        <w:rPr>
          <w:b/>
        </w:rPr>
        <w:t xml:space="preserve"> </w:t>
      </w:r>
    </w:p>
    <w:p w14:paraId="657B47D8" w14:textId="77777777" w:rsidR="00527682" w:rsidRDefault="00A10BF0">
      <w:pPr>
        <w:ind w:left="434"/>
      </w:pPr>
      <w:r>
        <w:rPr>
          <w:b/>
        </w:rPr>
        <w:t>Cuarto</w:t>
      </w:r>
      <w:r>
        <w:t xml:space="preserve">:  El artículo 60 del “Reglamento sobre la Apertura y Funcionamiento de las Entidades Autorizadas y el Funcionamiento de los Fondos de Pensiones, Capitalización Laboral y Ahorro Voluntario previstos en la Ley de Protección al Trabajador”, dispone que el Superintendente establecerá, mediante acuerdo general, la metodología de aplicación del valor cuota  y la medición de la rentabilidad aplicable a los diferentes regímenes. </w:t>
      </w:r>
    </w:p>
    <w:p w14:paraId="45800ED9" w14:textId="77777777" w:rsidR="00527682" w:rsidRDefault="00A10BF0">
      <w:pPr>
        <w:spacing w:after="0" w:line="259" w:lineRule="auto"/>
        <w:ind w:left="426" w:firstLine="0"/>
        <w:jc w:val="left"/>
      </w:pPr>
      <w:r>
        <w:rPr>
          <w:b/>
        </w:rPr>
        <w:t xml:space="preserve"> </w:t>
      </w:r>
    </w:p>
    <w:p w14:paraId="5CC66B74" w14:textId="77777777" w:rsidR="00527682" w:rsidRDefault="00A10BF0">
      <w:pPr>
        <w:ind w:left="434"/>
      </w:pPr>
      <w:r>
        <w:rPr>
          <w:b/>
        </w:rPr>
        <w:t>Quinto:</w:t>
      </w:r>
      <w:r>
        <w:t xml:space="preserve">  Por  artículo 17 del Acta de la Sesión 319-2002 del Consejo Nacional de Supervisión del sistema Financiero (CONASSIF), celebrada el 20 de agosto del 2002, fue derogado el Anexo 1 del “Reglamento sobre la Apertura y Funcionamiento de las Entidades Autorizadas y el Funcionamiento de los Fondos de Pensiones, Capitalización Laboral y Ahorro Voluntario previstos en la Ley de Protección al Trabajador”. Dicho anexo establecía la metodología para  el cálculo del </w:t>
      </w:r>
      <w:r>
        <w:lastRenderedPageBreak/>
        <w:t xml:space="preserve">valor cuota y la medición de la rentabilidad de los fondos administrados por las operadoras de pensión. </w:t>
      </w:r>
    </w:p>
    <w:p w14:paraId="43152C10" w14:textId="77777777" w:rsidR="00527682" w:rsidRDefault="00A10BF0">
      <w:pPr>
        <w:spacing w:after="0" w:line="259" w:lineRule="auto"/>
        <w:ind w:left="426" w:firstLine="0"/>
        <w:jc w:val="left"/>
      </w:pPr>
      <w:r>
        <w:t xml:space="preserve"> </w:t>
      </w:r>
    </w:p>
    <w:p w14:paraId="1E48435F" w14:textId="77777777" w:rsidR="00527682" w:rsidRDefault="00A10BF0">
      <w:pPr>
        <w:spacing w:after="0" w:line="259" w:lineRule="auto"/>
        <w:ind w:left="426" w:firstLine="0"/>
        <w:jc w:val="left"/>
      </w:pPr>
      <w:r>
        <w:t xml:space="preserve"> </w:t>
      </w:r>
    </w:p>
    <w:p w14:paraId="554D5A05" w14:textId="77777777" w:rsidR="00527682" w:rsidRDefault="00A10BF0">
      <w:pPr>
        <w:spacing w:after="0" w:line="259" w:lineRule="auto"/>
        <w:ind w:left="426" w:firstLine="0"/>
        <w:jc w:val="left"/>
      </w:pPr>
      <w:r>
        <w:t xml:space="preserve"> </w:t>
      </w:r>
    </w:p>
    <w:p w14:paraId="138348BC" w14:textId="77777777" w:rsidR="00527682" w:rsidRDefault="00A10BF0">
      <w:pPr>
        <w:spacing w:after="0" w:line="259" w:lineRule="auto"/>
        <w:ind w:left="429"/>
        <w:jc w:val="center"/>
      </w:pPr>
      <w:r>
        <w:rPr>
          <w:b/>
          <w:i/>
        </w:rPr>
        <w:t xml:space="preserve">DISPONE: </w:t>
      </w:r>
    </w:p>
    <w:p w14:paraId="2E8A22C0" w14:textId="77777777" w:rsidR="00527682" w:rsidRDefault="00A10BF0">
      <w:pPr>
        <w:spacing w:after="0" w:line="259" w:lineRule="auto"/>
        <w:ind w:left="426" w:firstLine="0"/>
        <w:jc w:val="left"/>
      </w:pPr>
      <w:r>
        <w:rPr>
          <w:b/>
          <w:sz w:val="26"/>
        </w:rPr>
        <w:t xml:space="preserve"> </w:t>
      </w:r>
    </w:p>
    <w:p w14:paraId="0463DA0C" w14:textId="77777777" w:rsidR="00E3142D" w:rsidRPr="00E3142D" w:rsidRDefault="00E3142D" w:rsidP="00E3142D">
      <w:pPr>
        <w:spacing w:after="0" w:line="252" w:lineRule="auto"/>
        <w:ind w:left="0" w:firstLine="0"/>
        <w:rPr>
          <w:rFonts w:eastAsia="Calibri"/>
          <w:b/>
          <w:bCs/>
          <w:szCs w:val="18"/>
          <w:lang w:eastAsia="en-US"/>
        </w:rPr>
      </w:pPr>
      <w:r w:rsidRPr="00E3142D">
        <w:rPr>
          <w:rFonts w:eastAsia="Calibri"/>
          <w:b/>
          <w:bCs/>
          <w:szCs w:val="18"/>
          <w:lang w:eastAsia="en-US"/>
        </w:rPr>
        <w:t xml:space="preserve">Artículo </w:t>
      </w:r>
      <w:r w:rsidRPr="00E3142D">
        <w:rPr>
          <w:rFonts w:eastAsia="Calibri"/>
          <w:i/>
          <w:iCs/>
          <w:color w:val="44546A"/>
          <w:szCs w:val="18"/>
          <w:lang w:eastAsia="en-US"/>
        </w:rPr>
        <w:fldChar w:fldCharType="begin"/>
      </w:r>
      <w:r w:rsidRPr="00E3142D">
        <w:rPr>
          <w:rFonts w:eastAsia="Calibri"/>
          <w:b/>
          <w:iCs/>
          <w:szCs w:val="18"/>
          <w:lang w:eastAsia="en-US"/>
        </w:rPr>
        <w:instrText xml:space="preserve"> SEQ Artículo \* ARABIC </w:instrText>
      </w:r>
      <w:r w:rsidRPr="00E3142D">
        <w:rPr>
          <w:rFonts w:eastAsia="Calibri"/>
          <w:b/>
          <w:iCs/>
          <w:szCs w:val="18"/>
          <w:lang w:eastAsia="en-US"/>
        </w:rPr>
        <w:fldChar w:fldCharType="separate"/>
      </w:r>
      <w:r w:rsidR="00433945">
        <w:rPr>
          <w:rFonts w:eastAsia="Calibri"/>
          <w:b/>
          <w:iCs/>
          <w:noProof/>
          <w:szCs w:val="18"/>
          <w:lang w:eastAsia="en-US"/>
        </w:rPr>
        <w:t>1</w:t>
      </w:r>
      <w:r w:rsidRPr="00E3142D">
        <w:rPr>
          <w:rFonts w:eastAsia="Calibri"/>
          <w:i/>
          <w:iCs/>
          <w:color w:val="44546A"/>
          <w:szCs w:val="18"/>
          <w:lang w:eastAsia="en-US"/>
        </w:rPr>
        <w:fldChar w:fldCharType="end"/>
      </w:r>
      <w:r w:rsidRPr="00E3142D">
        <w:rPr>
          <w:rFonts w:eastAsia="Calibri"/>
          <w:b/>
          <w:bCs/>
          <w:szCs w:val="18"/>
          <w:lang w:eastAsia="en-US"/>
        </w:rPr>
        <w:t>. Rentabilidad de los fondos administrados por Operadoras de Pensiones</w:t>
      </w:r>
    </w:p>
    <w:p w14:paraId="05B0BDFA" w14:textId="77777777" w:rsidR="00E3142D" w:rsidRPr="00E3142D" w:rsidRDefault="00E3142D" w:rsidP="00E3142D">
      <w:pPr>
        <w:spacing w:after="0" w:line="252" w:lineRule="auto"/>
        <w:ind w:left="0" w:firstLine="0"/>
        <w:rPr>
          <w:rFonts w:eastAsia="Calibri"/>
          <w:szCs w:val="18"/>
          <w:lang w:eastAsia="en-US"/>
        </w:rPr>
      </w:pPr>
      <w:r w:rsidRPr="00E3142D">
        <w:rPr>
          <w:rFonts w:eastAsia="Calibri"/>
          <w:szCs w:val="18"/>
          <w:lang w:eastAsia="en-US"/>
        </w:rPr>
        <w:t>La rentabilidad de los fondos administrados es calculada a partir de las tasas de crecimiento de los valores cuotas promedio mensuales</w:t>
      </w:r>
    </w:p>
    <w:p w14:paraId="6874DB76" w14:textId="77777777" w:rsidR="00E3142D" w:rsidRPr="00E3142D" w:rsidRDefault="00E3142D" w:rsidP="00E3142D">
      <w:pPr>
        <w:spacing w:after="0" w:line="252" w:lineRule="auto"/>
        <w:ind w:left="0" w:firstLine="0"/>
        <w:jc w:val="left"/>
        <w:rPr>
          <w:rFonts w:eastAsia="Calibri"/>
          <w:color w:val="auto"/>
          <w:lang w:eastAsia="en-US"/>
        </w:rPr>
      </w:pPr>
    </w:p>
    <w:p w14:paraId="66142E2F" w14:textId="77777777" w:rsidR="00E3142D" w:rsidRPr="00E3142D" w:rsidRDefault="00E3142D" w:rsidP="00E3142D">
      <w:pPr>
        <w:spacing w:after="0" w:line="252" w:lineRule="auto"/>
        <w:ind w:left="0" w:firstLine="0"/>
        <w:jc w:val="left"/>
        <w:rPr>
          <w:rFonts w:eastAsia="Calibri"/>
          <w:lang w:eastAsia="en-US"/>
        </w:rPr>
      </w:pPr>
    </w:p>
    <w:p w14:paraId="2F3CA5A1" w14:textId="77777777" w:rsidR="00E3142D" w:rsidRPr="00E3142D" w:rsidRDefault="00E3142D" w:rsidP="00E3142D">
      <w:pPr>
        <w:spacing w:after="0" w:line="252" w:lineRule="auto"/>
        <w:ind w:left="0" w:firstLine="0"/>
        <w:rPr>
          <w:rFonts w:eastAsia="Calibri"/>
          <w:b/>
          <w:bCs/>
          <w:szCs w:val="18"/>
          <w:lang w:eastAsia="en-US"/>
        </w:rPr>
      </w:pPr>
      <w:r w:rsidRPr="00E3142D">
        <w:rPr>
          <w:rFonts w:eastAsia="Calibri"/>
          <w:b/>
          <w:bCs/>
          <w:szCs w:val="18"/>
          <w:lang w:eastAsia="en-US"/>
        </w:rPr>
        <w:t>Artículo 2. Metodología de cálculo del valor cuota del mes</w:t>
      </w:r>
    </w:p>
    <w:p w14:paraId="44AAE230" w14:textId="77777777" w:rsidR="00E3142D" w:rsidRPr="00E3142D" w:rsidRDefault="00E3142D" w:rsidP="00E3142D">
      <w:pPr>
        <w:widowControl w:val="0"/>
        <w:spacing w:after="0" w:line="252" w:lineRule="auto"/>
        <w:ind w:left="54" w:firstLine="0"/>
        <w:rPr>
          <w:rFonts w:eastAsia="Calibri"/>
          <w:lang w:eastAsia="en-US"/>
        </w:rPr>
      </w:pPr>
      <w:r w:rsidRPr="00E3142D">
        <w:rPr>
          <w:rFonts w:eastAsia="Calibri"/>
          <w:lang w:eastAsia="en-US"/>
        </w:rPr>
        <w:t xml:space="preserve">El valor cuota promedio mensual, se calculará de la siguiente forma: </w:t>
      </w:r>
    </w:p>
    <w:p w14:paraId="6AB416F7" w14:textId="77777777" w:rsidR="00E3142D" w:rsidRPr="00E3142D" w:rsidRDefault="00E3142D" w:rsidP="00E3142D">
      <w:pPr>
        <w:widowControl w:val="0"/>
        <w:spacing w:after="0" w:line="252" w:lineRule="auto"/>
        <w:ind w:left="762" w:firstLine="0"/>
        <w:rPr>
          <w:rFonts w:eastAsia="Calibri"/>
          <w:lang w:eastAsia="en-US"/>
        </w:rPr>
      </w:pPr>
    </w:p>
    <w:p w14:paraId="19E1DF2B" w14:textId="77777777" w:rsidR="00E3142D" w:rsidRPr="00E3142D" w:rsidRDefault="00E3142D" w:rsidP="00E3142D">
      <w:pPr>
        <w:widowControl w:val="0"/>
        <w:spacing w:after="0" w:line="240" w:lineRule="auto"/>
        <w:ind w:left="762" w:firstLine="0"/>
        <w:jc w:val="center"/>
        <w:rPr>
          <w:rFonts w:eastAsia="Calibri"/>
          <w:lang w:eastAsia="en-US"/>
        </w:rPr>
      </w:pPr>
      <w:r w:rsidRPr="00E3142D">
        <w:rPr>
          <w:rFonts w:eastAsia="Calibri"/>
          <w:position w:val="-24"/>
          <w:lang w:eastAsia="en-US"/>
        </w:rPr>
        <w:object w:dxaOrig="1600" w:dyaOrig="960" w14:anchorId="34062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0.25pt" o:ole="" fillcolor="window">
            <v:imagedata r:id="rId8" o:title=""/>
          </v:shape>
          <o:OLEObject Type="Embed" ProgID="Equation.3" ShapeID="_x0000_i1025" DrawAspect="Content" ObjectID="_1731251928" r:id="rId9"/>
        </w:object>
      </w:r>
    </w:p>
    <w:p w14:paraId="5B86218A" w14:textId="77777777" w:rsidR="00E3142D" w:rsidRPr="00E3142D" w:rsidRDefault="00E3142D" w:rsidP="00E3142D">
      <w:pPr>
        <w:widowControl w:val="0"/>
        <w:shd w:val="clear" w:color="auto" w:fill="FFFFFF"/>
        <w:spacing w:after="0" w:line="240" w:lineRule="auto"/>
        <w:ind w:left="762" w:firstLine="0"/>
        <w:rPr>
          <w:rFonts w:eastAsia="Calibri"/>
          <w:color w:val="auto"/>
          <w:lang w:eastAsia="en-US"/>
        </w:rPr>
      </w:pPr>
      <w:r w:rsidRPr="00E3142D">
        <w:rPr>
          <w:rFonts w:eastAsia="Calibri"/>
          <w:color w:val="auto"/>
          <w:lang w:eastAsia="en-US"/>
        </w:rPr>
        <w:t>Donde:</w:t>
      </w:r>
    </w:p>
    <w:p w14:paraId="43C191C9"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tbl>
      <w:tblPr>
        <w:tblW w:w="7229"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953"/>
      </w:tblGrid>
      <w:tr w:rsidR="00E3142D" w:rsidRPr="00E3142D" w14:paraId="00D4AF8F" w14:textId="77777777" w:rsidTr="00EC1AE2">
        <w:trPr>
          <w:trHeight w:val="541"/>
        </w:trPr>
        <w:tc>
          <w:tcPr>
            <w:tcW w:w="1276" w:type="dxa"/>
            <w:vAlign w:val="center"/>
          </w:tcPr>
          <w:p w14:paraId="7402A003" w14:textId="77777777" w:rsidR="00E3142D" w:rsidRPr="00E3142D" w:rsidRDefault="00E3142D" w:rsidP="00E3142D">
            <w:pPr>
              <w:widowControl w:val="0"/>
              <w:spacing w:after="0" w:line="240" w:lineRule="auto"/>
              <w:ind w:left="72" w:firstLine="0"/>
              <w:jc w:val="left"/>
              <w:rPr>
                <w:rFonts w:eastAsia="Calibri"/>
                <w:color w:val="auto"/>
                <w:lang w:eastAsia="en-US"/>
              </w:rPr>
            </w:pPr>
            <w:r w:rsidRPr="00E3142D">
              <w:rPr>
                <w:rFonts w:eastAsia="Calibri"/>
                <w:color w:val="auto"/>
                <w:position w:val="-6"/>
                <w:lang w:eastAsia="en-US"/>
              </w:rPr>
              <w:object w:dxaOrig="520" w:dyaOrig="340" w14:anchorId="3DFCAEF9">
                <v:shape id="_x0000_i1026" type="#_x0000_t75" style="width:27.75pt;height:12.75pt" o:ole="" fillcolor="window">
                  <v:imagedata r:id="rId10" o:title=""/>
                </v:shape>
                <o:OLEObject Type="Embed" ProgID="Equation.3" ShapeID="_x0000_i1026" DrawAspect="Content" ObjectID="_1731251929" r:id="rId11"/>
              </w:object>
            </w:r>
          </w:p>
        </w:tc>
        <w:tc>
          <w:tcPr>
            <w:tcW w:w="5953" w:type="dxa"/>
          </w:tcPr>
          <w:p w14:paraId="7A8FFC73" w14:textId="77777777" w:rsidR="00E3142D" w:rsidRPr="00E3142D" w:rsidRDefault="00E3142D" w:rsidP="00E3142D">
            <w:pPr>
              <w:widowControl w:val="0"/>
              <w:spacing w:after="0" w:line="240" w:lineRule="auto"/>
              <w:ind w:left="72" w:firstLine="0"/>
              <w:rPr>
                <w:rFonts w:eastAsia="Calibri"/>
                <w:color w:val="auto"/>
                <w:lang w:eastAsia="en-US"/>
              </w:rPr>
            </w:pPr>
            <w:r w:rsidRPr="00E3142D">
              <w:rPr>
                <w:rFonts w:eastAsia="Calibri"/>
                <w:color w:val="auto"/>
                <w:lang w:eastAsia="en-US"/>
              </w:rPr>
              <w:t>Valor cuota promedio del fondo F para el mes t</w:t>
            </w:r>
          </w:p>
        </w:tc>
      </w:tr>
      <w:tr w:rsidR="00E3142D" w:rsidRPr="00E3142D" w14:paraId="38083412" w14:textId="77777777" w:rsidTr="00EC1AE2">
        <w:tc>
          <w:tcPr>
            <w:tcW w:w="1276" w:type="dxa"/>
            <w:vAlign w:val="center"/>
          </w:tcPr>
          <w:p w14:paraId="7A5FA416" w14:textId="77777777" w:rsidR="00E3142D" w:rsidRPr="00E3142D" w:rsidRDefault="00E3142D" w:rsidP="00E3142D">
            <w:pPr>
              <w:widowControl w:val="0"/>
              <w:spacing w:after="0" w:line="240" w:lineRule="auto"/>
              <w:ind w:left="72" w:firstLine="0"/>
              <w:jc w:val="left"/>
              <w:rPr>
                <w:rFonts w:eastAsia="Calibri"/>
                <w:color w:val="auto"/>
                <w:lang w:eastAsia="en-US"/>
              </w:rPr>
            </w:pPr>
            <w:r w:rsidRPr="00E3142D">
              <w:rPr>
                <w:rFonts w:eastAsia="Calibri"/>
                <w:color w:val="auto"/>
                <w:position w:val="-28"/>
                <w:lang w:eastAsia="en-US"/>
              </w:rPr>
              <w:object w:dxaOrig="820" w:dyaOrig="680" w14:anchorId="145F4F8A">
                <v:shape id="_x0000_i1027" type="#_x0000_t75" style="width:35.25pt;height:27.75pt" o:ole="" fillcolor="window">
                  <v:imagedata r:id="rId12" o:title=""/>
                </v:shape>
                <o:OLEObject Type="Embed" ProgID="Equation.3" ShapeID="_x0000_i1027" DrawAspect="Content" ObjectID="_1731251930" r:id="rId13"/>
              </w:object>
            </w:r>
          </w:p>
        </w:tc>
        <w:tc>
          <w:tcPr>
            <w:tcW w:w="5953" w:type="dxa"/>
          </w:tcPr>
          <w:p w14:paraId="3A229BB4" w14:textId="77777777" w:rsidR="00E3142D" w:rsidRPr="00E3142D" w:rsidRDefault="00E3142D" w:rsidP="00E3142D">
            <w:pPr>
              <w:widowControl w:val="0"/>
              <w:spacing w:after="0" w:line="240" w:lineRule="auto"/>
              <w:ind w:left="72" w:firstLine="0"/>
              <w:rPr>
                <w:rFonts w:eastAsia="Calibri"/>
                <w:color w:val="auto"/>
                <w:lang w:eastAsia="en-US"/>
              </w:rPr>
            </w:pPr>
            <w:r w:rsidRPr="00E3142D">
              <w:rPr>
                <w:rFonts w:eastAsia="Calibri"/>
                <w:color w:val="auto"/>
                <w:lang w:eastAsia="en-US"/>
              </w:rPr>
              <w:t xml:space="preserve">Sumatoria de los valores cuota diarios del fondo F, desde el día 1 hasta el día 30 del mes t.  </w:t>
            </w:r>
          </w:p>
          <w:p w14:paraId="5CBC1CD5" w14:textId="77777777" w:rsidR="00E3142D" w:rsidRPr="00E3142D" w:rsidRDefault="00E3142D" w:rsidP="00E3142D">
            <w:pPr>
              <w:widowControl w:val="0"/>
              <w:spacing w:after="0" w:line="240" w:lineRule="auto"/>
              <w:ind w:left="72" w:firstLine="0"/>
              <w:rPr>
                <w:rFonts w:eastAsia="Calibri"/>
                <w:color w:val="auto"/>
                <w:lang w:eastAsia="en-US"/>
              </w:rPr>
            </w:pPr>
            <w:r w:rsidRPr="00E3142D">
              <w:rPr>
                <w:rFonts w:eastAsia="Calibri"/>
                <w:color w:val="auto"/>
                <w:lang w:eastAsia="en-US"/>
              </w:rPr>
              <w:t>Para los meses de 31 días se utiliza los datos desde el día 1 al 30.</w:t>
            </w:r>
          </w:p>
          <w:p w14:paraId="37AB0C6B" w14:textId="77777777" w:rsidR="00E3142D" w:rsidRPr="00E3142D" w:rsidRDefault="00E3142D" w:rsidP="00E3142D">
            <w:pPr>
              <w:widowControl w:val="0"/>
              <w:spacing w:after="0" w:line="240" w:lineRule="auto"/>
              <w:ind w:left="72" w:firstLine="0"/>
              <w:rPr>
                <w:rFonts w:eastAsia="Calibri"/>
                <w:color w:val="auto"/>
                <w:lang w:eastAsia="en-US"/>
              </w:rPr>
            </w:pPr>
            <w:r w:rsidRPr="00E3142D">
              <w:rPr>
                <w:rFonts w:eastAsia="Calibri"/>
                <w:color w:val="auto"/>
                <w:lang w:eastAsia="en-US"/>
              </w:rPr>
              <w:t>Para el mes de febrero se repite el valor cuota del último día hasta completar 30 observaciones.</w:t>
            </w:r>
          </w:p>
        </w:tc>
      </w:tr>
    </w:tbl>
    <w:p w14:paraId="2DC27028"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17556B4D" w14:textId="77777777" w:rsidR="00E3142D" w:rsidRPr="00E3142D" w:rsidRDefault="00E3142D" w:rsidP="00E3142D">
      <w:pPr>
        <w:spacing w:after="0" w:line="240" w:lineRule="auto"/>
        <w:ind w:left="0" w:firstLine="0"/>
        <w:rPr>
          <w:rFonts w:eastAsia="Calibri"/>
          <w:b/>
          <w:bCs/>
          <w:szCs w:val="18"/>
          <w:lang w:eastAsia="en-US"/>
        </w:rPr>
      </w:pPr>
      <w:r w:rsidRPr="00E3142D">
        <w:rPr>
          <w:rFonts w:eastAsia="Calibri"/>
          <w:b/>
          <w:bCs/>
          <w:szCs w:val="18"/>
          <w:lang w:eastAsia="en-US"/>
        </w:rPr>
        <w:t>Artículo 3. Metodología de cálculo de la rentabilidad nominal</w:t>
      </w:r>
    </w:p>
    <w:p w14:paraId="4302285D" w14:textId="77777777" w:rsidR="00E3142D" w:rsidRPr="00E3142D" w:rsidRDefault="00E3142D" w:rsidP="00E3142D">
      <w:pPr>
        <w:widowControl w:val="0"/>
        <w:shd w:val="clear" w:color="auto" w:fill="FFFFFF"/>
        <w:spacing w:after="0" w:line="240" w:lineRule="auto"/>
        <w:ind w:left="-708" w:firstLine="708"/>
        <w:rPr>
          <w:rFonts w:eastAsia="Calibri"/>
          <w:color w:val="auto"/>
          <w:lang w:eastAsia="en-US"/>
        </w:rPr>
      </w:pPr>
      <w:r w:rsidRPr="00E3142D">
        <w:rPr>
          <w:rFonts w:eastAsia="Calibri"/>
          <w:color w:val="auto"/>
          <w:lang w:eastAsia="en-US"/>
        </w:rPr>
        <w:t xml:space="preserve">La rentabilidad nominal anualizada del fondo F se calculará de la siguiente forma: </w:t>
      </w:r>
    </w:p>
    <w:p w14:paraId="44D344E3"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78068EC7" w14:textId="77777777" w:rsidR="00E3142D" w:rsidRPr="00E3142D" w:rsidRDefault="00E3142D" w:rsidP="00E3142D">
      <w:pPr>
        <w:widowControl w:val="0"/>
        <w:spacing w:after="0" w:line="240" w:lineRule="auto"/>
        <w:ind w:left="762" w:right="72" w:firstLine="0"/>
        <w:jc w:val="center"/>
        <w:rPr>
          <w:color w:val="auto"/>
          <w:szCs w:val="14"/>
          <w:vertAlign w:val="subscript"/>
          <w:lang w:val="es-CR"/>
        </w:rPr>
      </w:pPr>
    </w:p>
    <w:p w14:paraId="2EA07216" w14:textId="77777777" w:rsidR="00E3142D" w:rsidRPr="00E3142D" w:rsidRDefault="00E3142D" w:rsidP="00E3142D">
      <w:pPr>
        <w:widowControl w:val="0"/>
        <w:spacing w:after="0" w:line="240" w:lineRule="auto"/>
        <w:ind w:left="762" w:right="72" w:firstLine="0"/>
        <w:jc w:val="center"/>
        <w:rPr>
          <w:color w:val="auto"/>
          <w:szCs w:val="14"/>
          <w:vertAlign w:val="subscript"/>
          <w:lang w:val="es-CR"/>
        </w:rPr>
      </w:pPr>
      <w:r w:rsidRPr="00E3142D">
        <w:rPr>
          <w:color w:val="auto"/>
          <w:position w:val="-48"/>
          <w:szCs w:val="14"/>
          <w:vertAlign w:val="subscript"/>
          <w:lang w:val="es-CR"/>
        </w:rPr>
        <w:object w:dxaOrig="2500" w:dyaOrig="1080" w14:anchorId="53B121D8">
          <v:shape id="_x0000_i1028" type="#_x0000_t75" style="width:120.75pt;height:59.25pt" o:ole="" fillcolor="window">
            <v:imagedata r:id="rId14" o:title=""/>
          </v:shape>
          <o:OLEObject Type="Embed" ProgID="Equation.3" ShapeID="_x0000_i1028" DrawAspect="Content" ObjectID="_1731251931" r:id="rId15"/>
        </w:object>
      </w:r>
    </w:p>
    <w:p w14:paraId="4A0F7757" w14:textId="77777777" w:rsidR="00E3142D" w:rsidRPr="00E3142D" w:rsidRDefault="00E3142D" w:rsidP="00E3142D">
      <w:pPr>
        <w:widowControl w:val="0"/>
        <w:spacing w:after="0" w:line="240" w:lineRule="auto"/>
        <w:ind w:left="762" w:right="72" w:firstLine="0"/>
        <w:jc w:val="center"/>
        <w:rPr>
          <w:color w:val="auto"/>
          <w:szCs w:val="14"/>
          <w:vertAlign w:val="subscript"/>
          <w:lang w:val="es-CR"/>
        </w:rPr>
      </w:pPr>
    </w:p>
    <w:p w14:paraId="4E620EB6" w14:textId="77777777" w:rsidR="00E3142D" w:rsidRPr="00E3142D" w:rsidRDefault="00E3142D" w:rsidP="00E3142D">
      <w:pPr>
        <w:widowControl w:val="0"/>
        <w:shd w:val="clear" w:color="auto" w:fill="FFFFFF"/>
        <w:spacing w:after="0" w:line="240" w:lineRule="auto"/>
        <w:ind w:left="762" w:firstLine="0"/>
        <w:rPr>
          <w:rFonts w:eastAsia="Calibri"/>
          <w:color w:val="auto"/>
          <w:lang w:eastAsia="en-US"/>
        </w:rPr>
      </w:pPr>
      <w:r w:rsidRPr="00E3142D">
        <w:rPr>
          <w:rFonts w:eastAsia="Calibri"/>
          <w:color w:val="auto"/>
          <w:lang w:eastAsia="en-US"/>
        </w:rPr>
        <w:t>Donde:</w:t>
      </w:r>
    </w:p>
    <w:p w14:paraId="22DB283F"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tbl>
      <w:tblPr>
        <w:tblW w:w="7087"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
        <w:gridCol w:w="5670"/>
      </w:tblGrid>
      <w:tr w:rsidR="00E3142D" w:rsidRPr="00E3142D" w14:paraId="0F5BDA41" w14:textId="77777777" w:rsidTr="00EC1AE2">
        <w:trPr>
          <w:trHeight w:val="674"/>
        </w:trPr>
        <w:tc>
          <w:tcPr>
            <w:tcW w:w="1417" w:type="dxa"/>
          </w:tcPr>
          <w:p w14:paraId="4CA3C158" w14:textId="77777777" w:rsidR="00E3142D" w:rsidRPr="00E3142D" w:rsidRDefault="00E3142D" w:rsidP="00E3142D">
            <w:pPr>
              <w:widowControl w:val="0"/>
              <w:spacing w:after="0" w:line="240" w:lineRule="auto"/>
              <w:ind w:left="213" w:right="618" w:firstLine="0"/>
              <w:jc w:val="left"/>
              <w:rPr>
                <w:rFonts w:eastAsia="Calibri"/>
                <w:color w:val="auto"/>
                <w:vertAlign w:val="superscript"/>
                <w:lang w:eastAsia="en-US"/>
              </w:rPr>
            </w:pPr>
            <w:r w:rsidRPr="00E3142D">
              <w:rPr>
                <w:rFonts w:eastAsia="Calibri"/>
                <w:color w:val="auto"/>
                <w:position w:val="-12"/>
                <w:vertAlign w:val="superscript"/>
                <w:lang w:eastAsia="en-US"/>
              </w:rPr>
              <w:object w:dxaOrig="480" w:dyaOrig="360" w14:anchorId="778600E7">
                <v:shape id="_x0000_i1029" type="#_x0000_t75" style="width:25.5pt;height:21.75pt" o:ole="" fillcolor="window">
                  <v:imagedata r:id="rId16" o:title=""/>
                </v:shape>
                <o:OLEObject Type="Embed" ProgID="Equation.3" ShapeID="_x0000_i1029" DrawAspect="Content" ObjectID="_1731251932" r:id="rId17"/>
              </w:object>
            </w:r>
          </w:p>
        </w:tc>
        <w:tc>
          <w:tcPr>
            <w:tcW w:w="5670" w:type="dxa"/>
          </w:tcPr>
          <w:p w14:paraId="52332694"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nominal del fondo F expresada en términos anuales para el período </w:t>
            </w:r>
            <w:r w:rsidRPr="00E3142D">
              <w:rPr>
                <w:rFonts w:eastAsia="Calibri"/>
                <w:color w:val="auto"/>
                <w:lang w:eastAsia="en-US"/>
              </w:rPr>
              <w:sym w:font="Symbol" w:char="F063"/>
            </w:r>
            <w:r w:rsidRPr="00E3142D">
              <w:rPr>
                <w:rFonts w:eastAsia="Calibri"/>
                <w:color w:val="auto"/>
                <w:lang w:eastAsia="en-US"/>
              </w:rPr>
              <w:t>.</w:t>
            </w:r>
          </w:p>
        </w:tc>
      </w:tr>
      <w:tr w:rsidR="00E3142D" w:rsidRPr="00E3142D" w14:paraId="418A1DDC" w14:textId="77777777" w:rsidTr="00EC1AE2">
        <w:trPr>
          <w:trHeight w:val="418"/>
        </w:trPr>
        <w:tc>
          <w:tcPr>
            <w:tcW w:w="1417" w:type="dxa"/>
          </w:tcPr>
          <w:p w14:paraId="51D0A4F6" w14:textId="77777777" w:rsidR="00E3142D" w:rsidRPr="00E3142D" w:rsidRDefault="00E3142D" w:rsidP="00E3142D">
            <w:pPr>
              <w:widowControl w:val="0"/>
              <w:tabs>
                <w:tab w:val="num" w:pos="720"/>
              </w:tabs>
              <w:spacing w:after="0" w:line="240" w:lineRule="auto"/>
              <w:ind w:left="213" w:right="618" w:firstLine="0"/>
              <w:jc w:val="left"/>
              <w:rPr>
                <w:rFonts w:eastAsia="Calibri"/>
                <w:color w:val="auto"/>
                <w:vertAlign w:val="superscript"/>
                <w:lang w:eastAsia="en-US"/>
              </w:rPr>
            </w:pPr>
            <w:r w:rsidRPr="00E3142D">
              <w:rPr>
                <w:rFonts w:eastAsia="Calibri"/>
                <w:color w:val="auto"/>
                <w:position w:val="-6"/>
                <w:lang w:eastAsia="en-US"/>
              </w:rPr>
              <w:object w:dxaOrig="540" w:dyaOrig="300" w14:anchorId="15E6696D">
                <v:shape id="_x0000_i1030" type="#_x0000_t75" style="width:27.75pt;height:12.75pt" o:ole="" fillcolor="window">
                  <v:imagedata r:id="rId18" o:title=""/>
                </v:shape>
                <o:OLEObject Type="Embed" ProgID="Equation.3" ShapeID="_x0000_i1030" DrawAspect="Content" ObjectID="_1731251933" r:id="rId19"/>
              </w:object>
            </w:r>
          </w:p>
        </w:tc>
        <w:tc>
          <w:tcPr>
            <w:tcW w:w="5670" w:type="dxa"/>
          </w:tcPr>
          <w:p w14:paraId="697ED3A4"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Valor cuota promedio del fondo F para el mes t.</w:t>
            </w:r>
          </w:p>
        </w:tc>
      </w:tr>
      <w:tr w:rsidR="00E3142D" w:rsidRPr="00E3142D" w14:paraId="5B525031" w14:textId="77777777" w:rsidTr="00EC1AE2">
        <w:trPr>
          <w:trHeight w:val="426"/>
        </w:trPr>
        <w:tc>
          <w:tcPr>
            <w:tcW w:w="1417" w:type="dxa"/>
          </w:tcPr>
          <w:p w14:paraId="6AA84E3F" w14:textId="77777777" w:rsidR="00E3142D" w:rsidRPr="00E3142D" w:rsidRDefault="00E3142D" w:rsidP="00E3142D">
            <w:pPr>
              <w:widowControl w:val="0"/>
              <w:spacing w:after="0" w:line="240" w:lineRule="auto"/>
              <w:ind w:left="213" w:right="618" w:firstLine="0"/>
              <w:jc w:val="left"/>
              <w:rPr>
                <w:rFonts w:eastAsia="Calibri"/>
                <w:color w:val="auto"/>
                <w:vertAlign w:val="superscript"/>
                <w:lang w:eastAsia="en-US"/>
              </w:rPr>
            </w:pPr>
            <w:r w:rsidRPr="00E3142D">
              <w:rPr>
                <w:rFonts w:eastAsia="Calibri"/>
                <w:color w:val="auto"/>
                <w:position w:val="-10"/>
                <w:lang w:eastAsia="en-US"/>
              </w:rPr>
              <w:object w:dxaOrig="840" w:dyaOrig="380" w14:anchorId="36B66A07">
                <v:shape id="_x0000_i1031" type="#_x0000_t75" style="width:45.75pt;height:15.75pt" o:ole="" fillcolor="window">
                  <v:imagedata r:id="rId20" o:title=""/>
                </v:shape>
                <o:OLEObject Type="Embed" ProgID="Equation.3" ShapeID="_x0000_i1031" DrawAspect="Content" ObjectID="_1731251934" r:id="rId21"/>
              </w:object>
            </w:r>
          </w:p>
        </w:tc>
        <w:tc>
          <w:tcPr>
            <w:tcW w:w="5670" w:type="dxa"/>
          </w:tcPr>
          <w:p w14:paraId="36544E73"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Valor cuota promedio del fondo F para el mes t-</w:t>
            </w:r>
            <w:r w:rsidRPr="00E3142D">
              <w:rPr>
                <w:rFonts w:eastAsia="Calibri"/>
                <w:color w:val="auto"/>
                <w:lang w:eastAsia="en-US"/>
              </w:rPr>
              <w:sym w:font="Symbol" w:char="F063"/>
            </w:r>
            <w:r w:rsidRPr="00E3142D">
              <w:rPr>
                <w:rFonts w:eastAsia="Calibri"/>
                <w:color w:val="auto"/>
                <w:lang w:eastAsia="en-US"/>
              </w:rPr>
              <w:t>.</w:t>
            </w:r>
          </w:p>
        </w:tc>
      </w:tr>
      <w:tr w:rsidR="00E3142D" w:rsidRPr="00E3142D" w14:paraId="66FC1B8C" w14:textId="77777777" w:rsidTr="00EC1AE2">
        <w:trPr>
          <w:trHeight w:val="336"/>
        </w:trPr>
        <w:tc>
          <w:tcPr>
            <w:tcW w:w="1417" w:type="dxa"/>
          </w:tcPr>
          <w:p w14:paraId="7FDB4D66" w14:textId="77777777" w:rsidR="00E3142D" w:rsidRPr="00E3142D" w:rsidRDefault="00E3142D" w:rsidP="00E3142D">
            <w:pPr>
              <w:widowControl w:val="0"/>
              <w:spacing w:after="0" w:line="240" w:lineRule="auto"/>
              <w:ind w:left="213" w:right="618" w:firstLine="0"/>
              <w:jc w:val="left"/>
              <w:rPr>
                <w:rFonts w:eastAsia="Calibri"/>
                <w:color w:val="auto"/>
                <w:lang w:eastAsia="en-US"/>
              </w:rPr>
            </w:pPr>
            <w:r w:rsidRPr="00E3142D">
              <w:rPr>
                <w:rFonts w:eastAsia="Calibri"/>
                <w:color w:val="auto"/>
                <w:lang w:eastAsia="en-US"/>
              </w:rPr>
              <w:t xml:space="preserve">    </w:t>
            </w:r>
            <w:r w:rsidRPr="00E3142D">
              <w:rPr>
                <w:rFonts w:eastAsia="Calibri"/>
                <w:color w:val="auto"/>
                <w:lang w:eastAsia="en-US"/>
              </w:rPr>
              <w:sym w:font="Symbol" w:char="F063"/>
            </w:r>
          </w:p>
        </w:tc>
        <w:tc>
          <w:tcPr>
            <w:tcW w:w="5670" w:type="dxa"/>
          </w:tcPr>
          <w:p w14:paraId="1B354DF3"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Período expresado en número de meses sobre el que se quiere calcular la rentabilidad.</w:t>
            </w:r>
          </w:p>
        </w:tc>
      </w:tr>
    </w:tbl>
    <w:p w14:paraId="70B9B381" w14:textId="77777777" w:rsidR="00E3142D" w:rsidRPr="00E3142D" w:rsidRDefault="00E3142D" w:rsidP="00E3142D">
      <w:pPr>
        <w:spacing w:after="0" w:line="240" w:lineRule="auto"/>
        <w:ind w:left="762" w:firstLine="0"/>
        <w:rPr>
          <w:color w:val="auto"/>
          <w:szCs w:val="24"/>
        </w:rPr>
      </w:pPr>
    </w:p>
    <w:p w14:paraId="1F28606A" w14:textId="77777777" w:rsidR="00E3142D" w:rsidRPr="00E3142D" w:rsidRDefault="00E3142D" w:rsidP="00E3142D">
      <w:pPr>
        <w:spacing w:after="0" w:line="240" w:lineRule="auto"/>
        <w:ind w:left="708" w:firstLine="0"/>
        <w:rPr>
          <w:rFonts w:eastAsia="Calibri"/>
          <w:b/>
          <w:iCs/>
          <w:szCs w:val="18"/>
          <w:lang w:eastAsia="en-US"/>
        </w:rPr>
      </w:pPr>
    </w:p>
    <w:p w14:paraId="6B07826B" w14:textId="77777777" w:rsidR="00E3142D" w:rsidRPr="00E3142D" w:rsidRDefault="00E3142D" w:rsidP="00E3142D">
      <w:pPr>
        <w:spacing w:after="0" w:line="240" w:lineRule="auto"/>
        <w:ind w:left="0" w:firstLine="0"/>
        <w:rPr>
          <w:rFonts w:eastAsia="Calibri"/>
          <w:b/>
          <w:bCs/>
          <w:szCs w:val="18"/>
          <w:lang w:eastAsia="en-US"/>
        </w:rPr>
      </w:pPr>
      <w:r w:rsidRPr="00E3142D">
        <w:rPr>
          <w:rFonts w:eastAsia="Calibri"/>
          <w:b/>
          <w:bCs/>
          <w:szCs w:val="18"/>
          <w:lang w:eastAsia="en-US"/>
        </w:rPr>
        <w:t>Artículo 4. Metodología de cálculo de la rentabilidad real</w:t>
      </w:r>
    </w:p>
    <w:p w14:paraId="1A2340C1" w14:textId="77777777" w:rsidR="00E3142D" w:rsidRPr="00E3142D" w:rsidRDefault="00E3142D" w:rsidP="00E3142D">
      <w:pPr>
        <w:widowControl w:val="0"/>
        <w:spacing w:after="0" w:line="240" w:lineRule="auto"/>
        <w:ind w:left="0" w:firstLine="0"/>
        <w:rPr>
          <w:color w:val="auto"/>
          <w:szCs w:val="24"/>
        </w:rPr>
      </w:pPr>
      <w:r w:rsidRPr="00E3142D">
        <w:rPr>
          <w:color w:val="auto"/>
          <w:szCs w:val="24"/>
        </w:rPr>
        <w:t>La rentabilidad real anualizada del fondo F se calculará de acuerdo con la siguiente fórmula:</w:t>
      </w:r>
    </w:p>
    <w:p w14:paraId="5577E595"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73AF6B2E" w14:textId="77777777" w:rsidR="00E3142D" w:rsidRPr="00E3142D" w:rsidRDefault="00E3142D" w:rsidP="00E3142D">
      <w:pPr>
        <w:widowControl w:val="0"/>
        <w:shd w:val="solid" w:color="FFFFFF" w:fill="auto"/>
        <w:spacing w:after="0" w:line="240" w:lineRule="auto"/>
        <w:ind w:left="762" w:firstLine="0"/>
        <w:jc w:val="center"/>
        <w:rPr>
          <w:rFonts w:eastAsia="Calibri"/>
          <w:color w:val="auto"/>
          <w:lang w:eastAsia="en-US"/>
        </w:rPr>
      </w:pPr>
      <w:r w:rsidRPr="00E3142D">
        <w:rPr>
          <w:rFonts w:eastAsia="Calibri"/>
          <w:color w:val="auto"/>
          <w:position w:val="-34"/>
          <w:lang w:eastAsia="en-US"/>
        </w:rPr>
        <w:object w:dxaOrig="2780" w:dyaOrig="800" w14:anchorId="616DEA8D">
          <v:shape id="_x0000_i1032" type="#_x0000_t75" style="width:134.25pt;height:44.25pt" o:ole="" fillcolor="window">
            <v:imagedata r:id="rId22" o:title=""/>
          </v:shape>
          <o:OLEObject Type="Embed" ProgID="Equation.3" ShapeID="_x0000_i1032" DrawAspect="Content" ObjectID="_1731251935" r:id="rId23"/>
        </w:object>
      </w:r>
    </w:p>
    <w:p w14:paraId="3D02DD1F" w14:textId="77777777" w:rsidR="00E3142D" w:rsidRPr="00E3142D" w:rsidRDefault="00E3142D" w:rsidP="00E3142D">
      <w:pPr>
        <w:widowControl w:val="0"/>
        <w:shd w:val="solid" w:color="FFFFFF" w:fill="auto"/>
        <w:spacing w:after="0" w:line="240" w:lineRule="auto"/>
        <w:ind w:left="762" w:firstLine="0"/>
        <w:jc w:val="center"/>
        <w:rPr>
          <w:rFonts w:eastAsia="Calibri"/>
          <w:color w:val="auto"/>
          <w:position w:val="-36"/>
          <w:lang w:eastAsia="en-US"/>
        </w:rPr>
      </w:pPr>
    </w:p>
    <w:p w14:paraId="31E9CF98" w14:textId="77777777" w:rsidR="00E3142D" w:rsidRPr="00E3142D" w:rsidRDefault="00E3142D" w:rsidP="00E3142D">
      <w:pPr>
        <w:widowControl w:val="0"/>
        <w:shd w:val="clear" w:color="auto" w:fill="FFFFFF"/>
        <w:spacing w:after="0" w:line="240" w:lineRule="auto"/>
        <w:ind w:left="762" w:firstLine="0"/>
        <w:rPr>
          <w:rFonts w:eastAsia="Calibri"/>
          <w:color w:val="auto"/>
          <w:lang w:eastAsia="en-US"/>
        </w:rPr>
      </w:pPr>
      <w:r w:rsidRPr="00E3142D">
        <w:rPr>
          <w:rFonts w:eastAsia="Calibri"/>
          <w:color w:val="auto"/>
          <w:lang w:eastAsia="en-US"/>
        </w:rPr>
        <w:t>Donde:</w:t>
      </w:r>
    </w:p>
    <w:p w14:paraId="71CDD22F"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tbl>
      <w:tblPr>
        <w:tblW w:w="7371" w:type="dxa"/>
        <w:tblInd w:w="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861"/>
      </w:tblGrid>
      <w:tr w:rsidR="00E3142D" w:rsidRPr="00E3142D" w14:paraId="10EBD6BC" w14:textId="77777777" w:rsidTr="00EC1AE2">
        <w:tc>
          <w:tcPr>
            <w:tcW w:w="1510" w:type="dxa"/>
          </w:tcPr>
          <w:p w14:paraId="0005385C" w14:textId="77777777" w:rsidR="00E3142D" w:rsidRPr="00E3142D" w:rsidRDefault="00E3142D" w:rsidP="00E3142D">
            <w:pPr>
              <w:widowControl w:val="0"/>
              <w:spacing w:after="0" w:line="240" w:lineRule="auto"/>
              <w:ind w:left="72" w:right="448" w:firstLine="0"/>
              <w:rPr>
                <w:rFonts w:eastAsia="Calibri"/>
                <w:color w:val="auto"/>
                <w:lang w:eastAsia="en-US"/>
              </w:rPr>
            </w:pPr>
            <w:r w:rsidRPr="00E3142D">
              <w:rPr>
                <w:rFonts w:eastAsia="Calibri"/>
                <w:color w:val="auto"/>
                <w:position w:val="-12"/>
                <w:lang w:eastAsia="en-US"/>
              </w:rPr>
              <w:object w:dxaOrig="660" w:dyaOrig="360" w14:anchorId="578086FD">
                <v:shape id="_x0000_i1033" type="#_x0000_t75" style="width:40.5pt;height:21.75pt" o:ole="" fillcolor="window">
                  <v:imagedata r:id="rId24" o:title=""/>
                </v:shape>
                <o:OLEObject Type="Embed" ProgID="Equation.3" ShapeID="_x0000_i1033" DrawAspect="Content" ObjectID="_1731251936" r:id="rId25"/>
              </w:object>
            </w:r>
          </w:p>
        </w:tc>
        <w:tc>
          <w:tcPr>
            <w:tcW w:w="5861" w:type="dxa"/>
          </w:tcPr>
          <w:p w14:paraId="19DEBC55"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real del fondo F expresada en términos anuales para el período </w:t>
            </w:r>
            <w:r w:rsidRPr="00E3142D">
              <w:rPr>
                <w:rFonts w:eastAsia="Calibri"/>
                <w:color w:val="auto"/>
                <w:lang w:eastAsia="en-US"/>
              </w:rPr>
              <w:sym w:font="Symbol" w:char="F063"/>
            </w:r>
          </w:p>
        </w:tc>
      </w:tr>
      <w:tr w:rsidR="00E3142D" w:rsidRPr="00E3142D" w14:paraId="56717C87" w14:textId="77777777" w:rsidTr="00EC1AE2">
        <w:tc>
          <w:tcPr>
            <w:tcW w:w="1510" w:type="dxa"/>
          </w:tcPr>
          <w:p w14:paraId="42999335" w14:textId="77777777" w:rsidR="00E3142D" w:rsidRPr="00E3142D" w:rsidRDefault="00E3142D" w:rsidP="00E3142D">
            <w:pPr>
              <w:widowControl w:val="0"/>
              <w:spacing w:after="0" w:line="240" w:lineRule="auto"/>
              <w:ind w:left="72" w:right="448" w:firstLine="0"/>
              <w:rPr>
                <w:rFonts w:eastAsia="Calibri"/>
                <w:color w:val="auto"/>
                <w:lang w:eastAsia="en-US"/>
              </w:rPr>
            </w:pPr>
            <w:r w:rsidRPr="00E3142D">
              <w:rPr>
                <w:rFonts w:eastAsia="Calibri"/>
                <w:color w:val="auto"/>
                <w:position w:val="-12"/>
                <w:lang w:eastAsia="en-US"/>
              </w:rPr>
              <w:object w:dxaOrig="480" w:dyaOrig="360" w14:anchorId="77B19380">
                <v:shape id="_x0000_i1034" type="#_x0000_t75" style="width:25.5pt;height:21.75pt" o:ole="" fillcolor="window">
                  <v:imagedata r:id="rId26" o:title=""/>
                </v:shape>
                <o:OLEObject Type="Embed" ProgID="Equation.3" ShapeID="_x0000_i1034" DrawAspect="Content" ObjectID="_1731251937" r:id="rId27"/>
              </w:object>
            </w:r>
          </w:p>
        </w:tc>
        <w:tc>
          <w:tcPr>
            <w:tcW w:w="5861" w:type="dxa"/>
          </w:tcPr>
          <w:p w14:paraId="7997FA7D"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nominal del fondo F expresada en términos anuales para el período </w:t>
            </w:r>
            <w:r w:rsidRPr="00E3142D">
              <w:rPr>
                <w:rFonts w:eastAsia="Calibri"/>
                <w:color w:val="auto"/>
                <w:lang w:eastAsia="en-US"/>
              </w:rPr>
              <w:sym w:font="Symbol" w:char="F063"/>
            </w:r>
          </w:p>
        </w:tc>
      </w:tr>
      <w:tr w:rsidR="00E3142D" w:rsidRPr="00E3142D" w14:paraId="4FBDA353" w14:textId="77777777" w:rsidTr="00EC1AE2">
        <w:tc>
          <w:tcPr>
            <w:tcW w:w="1510" w:type="dxa"/>
          </w:tcPr>
          <w:p w14:paraId="5AC32F44" w14:textId="77777777" w:rsidR="00E3142D" w:rsidRPr="00E3142D" w:rsidRDefault="00E3142D" w:rsidP="00E3142D">
            <w:pPr>
              <w:widowControl w:val="0"/>
              <w:spacing w:after="0" w:line="240" w:lineRule="auto"/>
              <w:ind w:left="72" w:right="448" w:firstLine="0"/>
              <w:rPr>
                <w:rFonts w:eastAsia="Calibri"/>
                <w:color w:val="auto"/>
                <w:lang w:eastAsia="en-US"/>
              </w:rPr>
            </w:pPr>
            <w:proofErr w:type="spellStart"/>
            <w:r w:rsidRPr="00E3142D">
              <w:rPr>
                <w:rFonts w:eastAsia="Calibri"/>
                <w:color w:val="auto"/>
                <w:lang w:eastAsia="en-US"/>
              </w:rPr>
              <w:t>Δ%IPC</w:t>
            </w:r>
            <w:r w:rsidRPr="00E3142D">
              <w:rPr>
                <w:rFonts w:eastAsia="Calibri"/>
                <w:color w:val="auto"/>
                <w:vertAlign w:val="subscript"/>
                <w:lang w:eastAsia="en-US"/>
              </w:rPr>
              <w:t>t</w:t>
            </w:r>
            <w:proofErr w:type="spellEnd"/>
          </w:p>
        </w:tc>
        <w:tc>
          <w:tcPr>
            <w:tcW w:w="5861" w:type="dxa"/>
          </w:tcPr>
          <w:p w14:paraId="0CF936F2"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Variación porcentual anual del Índice de Precios al Consumidor (IPC) en el periodo t, calculada de acuerdo con la fórmula siguiente:</w:t>
            </w:r>
          </w:p>
        </w:tc>
      </w:tr>
    </w:tbl>
    <w:p w14:paraId="392F96F2" w14:textId="77777777" w:rsidR="00E3142D" w:rsidRPr="00E3142D" w:rsidRDefault="00E3142D" w:rsidP="00E3142D">
      <w:pPr>
        <w:widowControl w:val="0"/>
        <w:shd w:val="solid" w:color="FFFFFF" w:fill="auto"/>
        <w:spacing w:after="0" w:line="240" w:lineRule="auto"/>
        <w:ind w:left="762" w:firstLine="0"/>
        <w:jc w:val="center"/>
        <w:rPr>
          <w:rFonts w:eastAsia="Calibri"/>
          <w:color w:val="auto"/>
          <w:position w:val="-36"/>
          <w:lang w:eastAsia="en-US"/>
        </w:rPr>
      </w:pPr>
    </w:p>
    <w:p w14:paraId="71BE9C0D" w14:textId="77777777" w:rsidR="00E3142D" w:rsidRPr="00E3142D" w:rsidRDefault="00E3142D" w:rsidP="00E3142D">
      <w:pPr>
        <w:widowControl w:val="0"/>
        <w:tabs>
          <w:tab w:val="left" w:pos="1080"/>
        </w:tabs>
        <w:spacing w:after="0" w:line="240" w:lineRule="auto"/>
        <w:ind w:left="762" w:firstLine="0"/>
        <w:jc w:val="center"/>
        <w:rPr>
          <w:color w:val="auto"/>
          <w:szCs w:val="24"/>
          <w:highlight w:val="yellow"/>
        </w:rPr>
      </w:pPr>
      <w:r w:rsidRPr="00E3142D">
        <w:rPr>
          <w:color w:val="auto"/>
          <w:position w:val="-50"/>
          <w:szCs w:val="24"/>
          <w:lang w:val="es-CR"/>
        </w:rPr>
        <w:object w:dxaOrig="2740" w:dyaOrig="1120" w14:anchorId="2B938ECA">
          <v:shape id="_x0000_i1035" type="#_x0000_t75" style="width:137.25pt;height:51.75pt" o:ole="" fillcolor="window">
            <v:imagedata r:id="rId28" o:title=""/>
          </v:shape>
          <o:OLEObject Type="Embed" ProgID="Equation.3" ShapeID="_x0000_i1035" DrawAspect="Content" ObjectID="_1731251938" r:id="rId29"/>
        </w:object>
      </w:r>
    </w:p>
    <w:p w14:paraId="757526A2" w14:textId="77777777" w:rsidR="00E3142D" w:rsidRPr="00E3142D" w:rsidRDefault="00E3142D" w:rsidP="00E3142D">
      <w:pPr>
        <w:widowControl w:val="0"/>
        <w:spacing w:after="0" w:line="240" w:lineRule="auto"/>
        <w:ind w:left="762" w:firstLine="0"/>
        <w:rPr>
          <w:rFonts w:eastAsia="Calibri"/>
          <w:color w:val="auto"/>
          <w:lang w:eastAsia="en-US"/>
        </w:rPr>
      </w:pPr>
      <w:r w:rsidRPr="00E3142D">
        <w:rPr>
          <w:rFonts w:eastAsia="Calibri"/>
          <w:color w:val="auto"/>
          <w:lang w:eastAsia="en-US"/>
        </w:rPr>
        <w:t>Donde:</w:t>
      </w:r>
    </w:p>
    <w:p w14:paraId="2A57F882" w14:textId="77777777" w:rsidR="00E3142D" w:rsidRPr="00E3142D" w:rsidRDefault="00E3142D" w:rsidP="00E3142D">
      <w:pPr>
        <w:widowControl w:val="0"/>
        <w:spacing w:after="0" w:line="240" w:lineRule="auto"/>
        <w:ind w:left="762" w:firstLine="0"/>
        <w:rPr>
          <w:rFonts w:eastAsia="Calibri"/>
          <w:color w:val="auto"/>
          <w:lang w:eastAsia="en-US"/>
        </w:rPr>
      </w:pPr>
    </w:p>
    <w:tbl>
      <w:tblPr>
        <w:tblW w:w="6662"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152"/>
      </w:tblGrid>
      <w:tr w:rsidR="00E3142D" w:rsidRPr="00E3142D" w14:paraId="195C8167" w14:textId="77777777" w:rsidTr="00EC1AE2">
        <w:tc>
          <w:tcPr>
            <w:tcW w:w="1510" w:type="dxa"/>
          </w:tcPr>
          <w:p w14:paraId="0BE55D2F" w14:textId="77777777" w:rsidR="00E3142D" w:rsidRPr="00E3142D" w:rsidRDefault="00E3142D" w:rsidP="00E3142D">
            <w:pPr>
              <w:widowControl w:val="0"/>
              <w:spacing w:after="0" w:line="240" w:lineRule="auto"/>
              <w:ind w:left="71" w:right="165" w:firstLine="0"/>
              <w:rPr>
                <w:rFonts w:eastAsia="Calibri"/>
                <w:color w:val="auto"/>
                <w:lang w:eastAsia="en-US"/>
              </w:rPr>
            </w:pPr>
            <w:r w:rsidRPr="00E3142D">
              <w:rPr>
                <w:rFonts w:eastAsia="Calibri"/>
                <w:color w:val="auto"/>
                <w:position w:val="-12"/>
                <w:lang w:eastAsia="en-US"/>
              </w:rPr>
              <w:object w:dxaOrig="520" w:dyaOrig="360" w14:anchorId="49024B57">
                <v:shape id="_x0000_i1036" type="#_x0000_t75" style="width:27.75pt;height:21.75pt" o:ole="" fillcolor="window">
                  <v:imagedata r:id="rId30" o:title=""/>
                </v:shape>
                <o:OLEObject Type="Embed" ProgID="Equation.3" ShapeID="_x0000_i1036" DrawAspect="Content" ObjectID="_1731251939" r:id="rId31"/>
              </w:object>
            </w:r>
          </w:p>
        </w:tc>
        <w:tc>
          <w:tcPr>
            <w:tcW w:w="5152" w:type="dxa"/>
          </w:tcPr>
          <w:p w14:paraId="42DC52AD"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Nivel del índice general de precios al consumidor del mes t.</w:t>
            </w:r>
          </w:p>
        </w:tc>
      </w:tr>
      <w:tr w:rsidR="00E3142D" w:rsidRPr="00E3142D" w14:paraId="5EA289A1" w14:textId="77777777" w:rsidTr="00EC1AE2">
        <w:tc>
          <w:tcPr>
            <w:tcW w:w="1510" w:type="dxa"/>
          </w:tcPr>
          <w:p w14:paraId="0CDD1BFF" w14:textId="77777777" w:rsidR="00E3142D" w:rsidRPr="00E3142D" w:rsidRDefault="00E3142D" w:rsidP="00E3142D">
            <w:pPr>
              <w:widowControl w:val="0"/>
              <w:spacing w:after="0" w:line="240" w:lineRule="auto"/>
              <w:ind w:left="71" w:right="165" w:firstLine="0"/>
              <w:rPr>
                <w:rFonts w:eastAsia="Calibri"/>
                <w:color w:val="auto"/>
                <w:lang w:eastAsia="en-US"/>
              </w:rPr>
            </w:pPr>
            <w:r w:rsidRPr="00E3142D">
              <w:rPr>
                <w:rFonts w:eastAsia="Calibri"/>
                <w:color w:val="auto"/>
                <w:position w:val="-14"/>
                <w:lang w:eastAsia="en-US"/>
              </w:rPr>
              <w:object w:dxaOrig="700" w:dyaOrig="380" w14:anchorId="325309ED">
                <v:shape id="_x0000_i1037" type="#_x0000_t75" style="width:36.75pt;height:20.25pt" o:ole="" fillcolor="window">
                  <v:imagedata r:id="rId32" o:title=""/>
                </v:shape>
                <o:OLEObject Type="Embed" ProgID="Equation.3" ShapeID="_x0000_i1037" DrawAspect="Content" ObjectID="_1731251940" r:id="rId33"/>
              </w:object>
            </w:r>
          </w:p>
        </w:tc>
        <w:tc>
          <w:tcPr>
            <w:tcW w:w="5152" w:type="dxa"/>
          </w:tcPr>
          <w:p w14:paraId="2E7F245B"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Nivel del índice general de precios al consumidor del mes t- </w:t>
            </w:r>
            <w:r w:rsidRPr="00E3142D">
              <w:rPr>
                <w:rFonts w:eastAsia="Calibri"/>
                <w:color w:val="auto"/>
                <w:lang w:eastAsia="en-US"/>
              </w:rPr>
              <w:sym w:font="Symbol" w:char="F063"/>
            </w:r>
          </w:p>
        </w:tc>
      </w:tr>
      <w:tr w:rsidR="00E3142D" w:rsidRPr="00E3142D" w14:paraId="26355C6D" w14:textId="77777777" w:rsidTr="00EC1AE2">
        <w:trPr>
          <w:trHeight w:val="370"/>
        </w:trPr>
        <w:tc>
          <w:tcPr>
            <w:tcW w:w="1510" w:type="dxa"/>
          </w:tcPr>
          <w:p w14:paraId="1C86C5C6" w14:textId="77777777" w:rsidR="00E3142D" w:rsidRPr="00E3142D" w:rsidRDefault="00E3142D" w:rsidP="00E3142D">
            <w:pPr>
              <w:widowControl w:val="0"/>
              <w:spacing w:after="0" w:line="240" w:lineRule="auto"/>
              <w:ind w:left="71" w:right="165" w:firstLine="0"/>
              <w:rPr>
                <w:rFonts w:eastAsia="Calibri"/>
                <w:color w:val="auto"/>
                <w:lang w:eastAsia="en-US"/>
              </w:rPr>
            </w:pPr>
            <w:r w:rsidRPr="00E3142D">
              <w:rPr>
                <w:rFonts w:eastAsia="Calibri"/>
                <w:color w:val="auto"/>
                <w:lang w:eastAsia="en-US"/>
              </w:rPr>
              <w:sym w:font="Symbol" w:char="F063"/>
            </w:r>
          </w:p>
        </w:tc>
        <w:tc>
          <w:tcPr>
            <w:tcW w:w="5152" w:type="dxa"/>
          </w:tcPr>
          <w:p w14:paraId="795E0010"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Período expresado en número de meses </w:t>
            </w:r>
          </w:p>
        </w:tc>
      </w:tr>
    </w:tbl>
    <w:p w14:paraId="682789C0" w14:textId="77777777" w:rsidR="00E3142D" w:rsidRPr="00E3142D" w:rsidRDefault="00E3142D" w:rsidP="00E3142D">
      <w:pPr>
        <w:widowControl w:val="0"/>
        <w:spacing w:after="0" w:line="240" w:lineRule="auto"/>
        <w:ind w:left="762" w:right="72" w:firstLine="0"/>
        <w:jc w:val="center"/>
        <w:rPr>
          <w:color w:val="auto"/>
          <w:szCs w:val="14"/>
          <w:vertAlign w:val="subscript"/>
        </w:rPr>
      </w:pPr>
    </w:p>
    <w:p w14:paraId="4FDC87E1" w14:textId="77777777" w:rsidR="00E3142D" w:rsidRPr="00E3142D" w:rsidRDefault="00E3142D" w:rsidP="00E3142D">
      <w:pPr>
        <w:widowControl w:val="0"/>
        <w:spacing w:after="0" w:line="240" w:lineRule="auto"/>
        <w:ind w:left="762" w:right="72" w:firstLine="0"/>
        <w:jc w:val="center"/>
        <w:rPr>
          <w:rFonts w:ascii="Arial" w:hAnsi="Arial"/>
          <w:color w:val="auto"/>
          <w:szCs w:val="14"/>
          <w:vertAlign w:val="subscript"/>
          <w:lang w:val="es-CR"/>
        </w:rPr>
      </w:pPr>
    </w:p>
    <w:p w14:paraId="5A55A99D" w14:textId="77777777" w:rsidR="00E3142D" w:rsidRPr="00E3142D" w:rsidRDefault="00E3142D" w:rsidP="00E3142D">
      <w:pPr>
        <w:spacing w:after="0" w:line="240" w:lineRule="auto"/>
        <w:ind w:left="0" w:firstLine="0"/>
        <w:rPr>
          <w:rFonts w:eastAsia="Calibri"/>
          <w:b/>
          <w:bCs/>
          <w:szCs w:val="18"/>
          <w:lang w:eastAsia="en-US"/>
        </w:rPr>
      </w:pPr>
      <w:r w:rsidRPr="00E3142D">
        <w:rPr>
          <w:rFonts w:eastAsia="Calibri"/>
          <w:b/>
          <w:bCs/>
          <w:szCs w:val="18"/>
          <w:lang w:eastAsia="en-US"/>
        </w:rPr>
        <w:t xml:space="preserve">Artículo 5. Metodología de cálculo de la rentabilidad </w:t>
      </w:r>
      <w:r w:rsidRPr="00E3142D">
        <w:rPr>
          <w:rFonts w:eastAsia="Calibri"/>
          <w:b/>
          <w:bCs/>
          <w:color w:val="auto"/>
          <w:szCs w:val="18"/>
          <w:lang w:eastAsia="en-US"/>
        </w:rPr>
        <w:t xml:space="preserve">nominal </w:t>
      </w:r>
      <w:r w:rsidRPr="00E3142D">
        <w:rPr>
          <w:rFonts w:eastAsia="Calibri"/>
          <w:b/>
          <w:bCs/>
          <w:szCs w:val="18"/>
          <w:lang w:eastAsia="en-US"/>
        </w:rPr>
        <w:t xml:space="preserve">del régimen </w:t>
      </w:r>
    </w:p>
    <w:p w14:paraId="2358D4F0" w14:textId="77777777" w:rsidR="00E3142D" w:rsidRPr="00E3142D" w:rsidRDefault="00E3142D" w:rsidP="00E3142D">
      <w:pPr>
        <w:widowControl w:val="0"/>
        <w:shd w:val="clear" w:color="auto" w:fill="FFFFFF"/>
        <w:spacing w:after="0" w:line="240" w:lineRule="auto"/>
        <w:ind w:left="0" w:firstLine="0"/>
        <w:rPr>
          <w:rFonts w:eastAsia="Calibri"/>
          <w:color w:val="auto"/>
          <w:lang w:eastAsia="en-US"/>
        </w:rPr>
      </w:pPr>
      <w:r w:rsidRPr="00E3142D">
        <w:rPr>
          <w:rFonts w:eastAsia="Calibri"/>
          <w:color w:val="auto"/>
          <w:lang w:eastAsia="en-US"/>
        </w:rPr>
        <w:t xml:space="preserve">Para el cálculo de la rentabilidad de un régimen se utiliza la siguiente fórmula: </w:t>
      </w:r>
    </w:p>
    <w:p w14:paraId="21EDBA0E" w14:textId="77777777" w:rsidR="00E3142D" w:rsidRPr="00E3142D" w:rsidRDefault="00E3142D" w:rsidP="00E3142D">
      <w:pPr>
        <w:widowControl w:val="0"/>
        <w:shd w:val="solid" w:color="FFFFFF" w:fill="auto"/>
        <w:spacing w:after="0" w:line="240" w:lineRule="auto"/>
        <w:ind w:left="762" w:firstLine="0"/>
        <w:jc w:val="center"/>
        <w:rPr>
          <w:rFonts w:eastAsia="Calibri"/>
          <w:color w:val="auto"/>
          <w:position w:val="-28"/>
          <w:lang w:eastAsia="en-US"/>
        </w:rPr>
      </w:pPr>
    </w:p>
    <w:p w14:paraId="38076DC6" w14:textId="77777777" w:rsidR="00E3142D" w:rsidRPr="00E3142D" w:rsidRDefault="00E3142D" w:rsidP="00E3142D">
      <w:pPr>
        <w:widowControl w:val="0"/>
        <w:shd w:val="solid" w:color="FFFFFF" w:fill="auto"/>
        <w:spacing w:after="0" w:line="240" w:lineRule="auto"/>
        <w:ind w:left="762" w:firstLine="0"/>
        <w:jc w:val="center"/>
        <w:rPr>
          <w:rFonts w:eastAsia="Calibri"/>
          <w:color w:val="auto"/>
          <w:lang w:eastAsia="en-US"/>
        </w:rPr>
      </w:pPr>
      <w:r w:rsidRPr="00E3142D">
        <w:rPr>
          <w:rFonts w:eastAsia="Calibri"/>
          <w:color w:val="auto"/>
          <w:position w:val="-28"/>
          <w:lang w:eastAsia="en-US"/>
        </w:rPr>
        <w:object w:dxaOrig="2140" w:dyaOrig="680" w14:anchorId="64974E79">
          <v:shape id="_x0000_i1038" type="#_x0000_t75" style="width:125.25pt;height:43.5pt" o:ole="" fillcolor="window">
            <v:imagedata r:id="rId34" o:title=""/>
          </v:shape>
          <o:OLEObject Type="Embed" ProgID="Equation.3" ShapeID="_x0000_i1038" DrawAspect="Content" ObjectID="_1731251941" r:id="rId35"/>
        </w:object>
      </w:r>
    </w:p>
    <w:p w14:paraId="72B45263"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0AC9965B" w14:textId="77777777" w:rsidR="00E3142D" w:rsidRPr="00E3142D" w:rsidRDefault="00E3142D" w:rsidP="00E3142D">
      <w:pPr>
        <w:widowControl w:val="0"/>
        <w:shd w:val="clear" w:color="auto" w:fill="FFFFFF"/>
        <w:spacing w:after="0" w:line="240" w:lineRule="auto"/>
        <w:ind w:left="762" w:firstLine="0"/>
        <w:rPr>
          <w:rFonts w:eastAsia="Calibri"/>
          <w:color w:val="auto"/>
          <w:lang w:eastAsia="en-US"/>
        </w:rPr>
      </w:pPr>
      <w:r w:rsidRPr="00E3142D">
        <w:rPr>
          <w:rFonts w:eastAsia="Calibri"/>
          <w:color w:val="auto"/>
          <w:lang w:eastAsia="en-US"/>
        </w:rPr>
        <w:t>Donde:</w:t>
      </w:r>
    </w:p>
    <w:p w14:paraId="7299D43B"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tbl>
      <w:tblPr>
        <w:tblW w:w="7229"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719"/>
      </w:tblGrid>
      <w:tr w:rsidR="00E3142D" w:rsidRPr="00E3142D" w14:paraId="09BF9B85" w14:textId="77777777" w:rsidTr="00EC1AE2">
        <w:trPr>
          <w:trHeight w:val="619"/>
        </w:trPr>
        <w:tc>
          <w:tcPr>
            <w:tcW w:w="1510" w:type="dxa"/>
          </w:tcPr>
          <w:p w14:paraId="126FDDF6"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2"/>
                <w:lang w:eastAsia="en-US"/>
              </w:rPr>
              <w:object w:dxaOrig="520" w:dyaOrig="360" w14:anchorId="11A3C7BF">
                <v:shape id="_x0000_i1039" type="#_x0000_t75" style="width:27.75pt;height:21.75pt" o:ole="" fillcolor="window">
                  <v:imagedata r:id="rId36" o:title=""/>
                </v:shape>
                <o:OLEObject Type="Embed" ProgID="Equation.3" ShapeID="_x0000_i1039" DrawAspect="Content" ObjectID="_1731251942" r:id="rId37"/>
              </w:object>
            </w:r>
          </w:p>
        </w:tc>
        <w:tc>
          <w:tcPr>
            <w:tcW w:w="5719" w:type="dxa"/>
          </w:tcPr>
          <w:p w14:paraId="5B73EFB3"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nominal de régimen expresada en términos anuales para el período </w:t>
            </w:r>
            <w:r w:rsidRPr="00E3142D">
              <w:rPr>
                <w:rFonts w:eastAsia="Calibri"/>
                <w:color w:val="auto"/>
                <w:lang w:eastAsia="en-US"/>
              </w:rPr>
              <w:sym w:font="Symbol" w:char="F063"/>
            </w:r>
          </w:p>
        </w:tc>
      </w:tr>
      <w:tr w:rsidR="00E3142D" w:rsidRPr="00E3142D" w14:paraId="276A2F73" w14:textId="77777777" w:rsidTr="00EC1AE2">
        <w:trPr>
          <w:trHeight w:val="571"/>
        </w:trPr>
        <w:tc>
          <w:tcPr>
            <w:tcW w:w="1510" w:type="dxa"/>
          </w:tcPr>
          <w:p w14:paraId="16BDE99A"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0"/>
                <w:lang w:eastAsia="en-US"/>
              </w:rPr>
              <w:object w:dxaOrig="380" w:dyaOrig="300" w14:anchorId="76A9DDEB">
                <v:shape id="_x0000_i1040" type="#_x0000_t75" style="width:28.5pt;height:21.75pt" o:ole="">
                  <v:imagedata r:id="rId38" o:title=""/>
                </v:shape>
                <o:OLEObject Type="Embed" ProgID="Equation.3" ShapeID="_x0000_i1040" DrawAspect="Content" ObjectID="_1731251943" r:id="rId39"/>
              </w:object>
            </w:r>
          </w:p>
        </w:tc>
        <w:tc>
          <w:tcPr>
            <w:tcW w:w="5719" w:type="dxa"/>
          </w:tcPr>
          <w:p w14:paraId="1772BA85"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Peso relativo del activo neto del fondo F sobre el activo neto al final del periodo </w:t>
            </w:r>
            <w:r w:rsidRPr="00E3142D">
              <w:rPr>
                <w:rFonts w:eastAsia="Calibri"/>
                <w:color w:val="auto"/>
                <w:lang w:eastAsia="en-US"/>
              </w:rPr>
              <w:sym w:font="Symbol" w:char="F063"/>
            </w:r>
            <w:r w:rsidRPr="00E3142D">
              <w:rPr>
                <w:rFonts w:eastAsia="Calibri"/>
                <w:color w:val="auto"/>
                <w:lang w:eastAsia="en-US"/>
              </w:rPr>
              <w:t>.</w:t>
            </w:r>
          </w:p>
        </w:tc>
      </w:tr>
      <w:tr w:rsidR="00E3142D" w:rsidRPr="00E3142D" w14:paraId="20E6D33A" w14:textId="77777777" w:rsidTr="00EC1AE2">
        <w:trPr>
          <w:trHeight w:val="343"/>
        </w:trPr>
        <w:tc>
          <w:tcPr>
            <w:tcW w:w="1510" w:type="dxa"/>
          </w:tcPr>
          <w:p w14:paraId="2FAB0BEC"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2"/>
                <w:lang w:eastAsia="en-US"/>
              </w:rPr>
              <w:object w:dxaOrig="480" w:dyaOrig="360" w14:anchorId="190A7E1D">
                <v:shape id="_x0000_i1041" type="#_x0000_t75" style="width:25.5pt;height:21.75pt" o:ole="" fillcolor="window">
                  <v:imagedata r:id="rId40" o:title=""/>
                </v:shape>
                <o:OLEObject Type="Embed" ProgID="Equation.3" ShapeID="_x0000_i1041" DrawAspect="Content" ObjectID="_1731251944" r:id="rId41"/>
              </w:object>
            </w:r>
          </w:p>
        </w:tc>
        <w:tc>
          <w:tcPr>
            <w:tcW w:w="5719" w:type="dxa"/>
          </w:tcPr>
          <w:p w14:paraId="650F8ED1"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nominal del fondo F expresada en términos anuales para el período </w:t>
            </w:r>
            <w:r w:rsidRPr="00E3142D">
              <w:rPr>
                <w:rFonts w:eastAsia="Calibri"/>
                <w:color w:val="auto"/>
                <w:lang w:eastAsia="en-US"/>
              </w:rPr>
              <w:sym w:font="Symbol" w:char="F063"/>
            </w:r>
          </w:p>
        </w:tc>
      </w:tr>
      <w:tr w:rsidR="00E3142D" w:rsidRPr="00E3142D" w14:paraId="271123AD" w14:textId="77777777" w:rsidTr="00EC1AE2">
        <w:tc>
          <w:tcPr>
            <w:tcW w:w="1510" w:type="dxa"/>
          </w:tcPr>
          <w:p w14:paraId="52420FBE"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lang w:eastAsia="en-US"/>
              </w:rPr>
              <w:t>n</w:t>
            </w:r>
          </w:p>
        </w:tc>
        <w:tc>
          <w:tcPr>
            <w:tcW w:w="5719" w:type="dxa"/>
          </w:tcPr>
          <w:p w14:paraId="4B62C44A"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Número de fondos pertenecientes al régimen</w:t>
            </w:r>
          </w:p>
        </w:tc>
      </w:tr>
    </w:tbl>
    <w:p w14:paraId="579260B0" w14:textId="77777777" w:rsidR="00E3142D" w:rsidRPr="00E3142D" w:rsidRDefault="00E3142D" w:rsidP="00E3142D">
      <w:pPr>
        <w:widowControl w:val="0"/>
        <w:shd w:val="solid" w:color="FFFFFF" w:fill="auto"/>
        <w:spacing w:after="0" w:line="240" w:lineRule="auto"/>
        <w:ind w:left="0" w:firstLine="0"/>
        <w:rPr>
          <w:rFonts w:eastAsia="Calibri"/>
          <w:color w:val="auto"/>
          <w:lang w:eastAsia="en-US"/>
        </w:rPr>
      </w:pPr>
    </w:p>
    <w:p w14:paraId="25942CA9" w14:textId="77777777" w:rsidR="00E3142D" w:rsidRPr="00E3142D" w:rsidRDefault="00E3142D" w:rsidP="00E3142D">
      <w:pPr>
        <w:spacing w:after="0" w:line="240" w:lineRule="auto"/>
        <w:ind w:left="708" w:firstLine="0"/>
        <w:rPr>
          <w:rFonts w:eastAsia="Calibri"/>
          <w:b/>
          <w:bCs/>
          <w:szCs w:val="18"/>
          <w:lang w:eastAsia="en-US"/>
        </w:rPr>
      </w:pPr>
    </w:p>
    <w:p w14:paraId="40821860" w14:textId="77777777" w:rsidR="00E3142D" w:rsidRPr="00E3142D" w:rsidRDefault="00E3142D" w:rsidP="00E3142D">
      <w:pPr>
        <w:spacing w:after="0" w:line="240" w:lineRule="auto"/>
        <w:ind w:left="708" w:firstLine="0"/>
        <w:rPr>
          <w:rFonts w:eastAsia="Calibri"/>
          <w:b/>
          <w:bCs/>
          <w:szCs w:val="18"/>
          <w:lang w:eastAsia="en-US"/>
        </w:rPr>
      </w:pPr>
    </w:p>
    <w:p w14:paraId="59EDF191" w14:textId="77777777" w:rsidR="00E3142D" w:rsidRPr="00E3142D" w:rsidRDefault="00E3142D" w:rsidP="00E3142D">
      <w:pPr>
        <w:spacing w:after="0" w:line="240" w:lineRule="auto"/>
        <w:ind w:left="708" w:firstLine="0"/>
        <w:rPr>
          <w:rFonts w:eastAsia="Calibri"/>
          <w:b/>
          <w:bCs/>
          <w:szCs w:val="18"/>
          <w:lang w:eastAsia="en-US"/>
        </w:rPr>
      </w:pPr>
    </w:p>
    <w:p w14:paraId="18592796" w14:textId="77777777" w:rsidR="00E3142D" w:rsidRPr="00E3142D" w:rsidRDefault="00E3142D" w:rsidP="00E3142D">
      <w:pPr>
        <w:spacing w:after="0" w:line="240" w:lineRule="auto"/>
        <w:ind w:left="0" w:firstLine="0"/>
        <w:rPr>
          <w:rFonts w:eastAsia="Calibri"/>
          <w:b/>
          <w:bCs/>
          <w:szCs w:val="18"/>
          <w:lang w:eastAsia="en-US"/>
        </w:rPr>
      </w:pPr>
      <w:r w:rsidRPr="00E3142D">
        <w:rPr>
          <w:rFonts w:eastAsia="Calibri"/>
          <w:b/>
          <w:bCs/>
          <w:szCs w:val="18"/>
          <w:lang w:eastAsia="en-US"/>
        </w:rPr>
        <w:t xml:space="preserve">Artículo 6. Metodología de cálculo de la </w:t>
      </w:r>
      <w:r w:rsidRPr="00E3142D">
        <w:rPr>
          <w:rFonts w:eastAsia="Calibri"/>
          <w:b/>
          <w:bCs/>
          <w:color w:val="auto"/>
          <w:szCs w:val="18"/>
          <w:lang w:eastAsia="en-US"/>
        </w:rPr>
        <w:t xml:space="preserve">rentabilidad real </w:t>
      </w:r>
      <w:r w:rsidRPr="00E3142D">
        <w:rPr>
          <w:rFonts w:eastAsia="Calibri"/>
          <w:b/>
          <w:bCs/>
          <w:szCs w:val="18"/>
          <w:lang w:eastAsia="en-US"/>
        </w:rPr>
        <w:t xml:space="preserve">del régimen </w:t>
      </w:r>
    </w:p>
    <w:p w14:paraId="2F506C27" w14:textId="77777777" w:rsidR="00E3142D" w:rsidRPr="00E3142D" w:rsidRDefault="00E3142D" w:rsidP="00E3142D">
      <w:pPr>
        <w:widowControl w:val="0"/>
        <w:shd w:val="clear" w:color="auto" w:fill="FFFFFF"/>
        <w:spacing w:after="0" w:line="240" w:lineRule="auto"/>
        <w:ind w:left="0" w:firstLine="0"/>
        <w:rPr>
          <w:rFonts w:eastAsia="Calibri"/>
          <w:color w:val="auto"/>
          <w:lang w:eastAsia="en-US"/>
        </w:rPr>
      </w:pPr>
      <w:r w:rsidRPr="00E3142D">
        <w:rPr>
          <w:rFonts w:eastAsia="Calibri"/>
          <w:color w:val="auto"/>
          <w:lang w:eastAsia="en-US"/>
        </w:rPr>
        <w:t xml:space="preserve">Para el cálculo de la rentabilidad de un régimen se utiliza la siguiente fórmula: </w:t>
      </w:r>
    </w:p>
    <w:p w14:paraId="3B51D2A9" w14:textId="77777777" w:rsidR="00E3142D" w:rsidRPr="00E3142D" w:rsidRDefault="00E3142D" w:rsidP="00E3142D">
      <w:pPr>
        <w:widowControl w:val="0"/>
        <w:shd w:val="solid" w:color="FFFFFF" w:fill="auto"/>
        <w:spacing w:after="0" w:line="240" w:lineRule="auto"/>
        <w:ind w:left="762" w:firstLine="0"/>
        <w:jc w:val="center"/>
        <w:rPr>
          <w:rFonts w:eastAsia="Calibri"/>
          <w:color w:val="auto"/>
          <w:position w:val="-28"/>
          <w:lang w:eastAsia="en-US"/>
        </w:rPr>
      </w:pPr>
    </w:p>
    <w:p w14:paraId="4D0B639A" w14:textId="77777777" w:rsidR="00E3142D" w:rsidRPr="00E3142D" w:rsidRDefault="00E3142D" w:rsidP="00E3142D">
      <w:pPr>
        <w:widowControl w:val="0"/>
        <w:shd w:val="solid" w:color="FFFFFF" w:fill="auto"/>
        <w:spacing w:after="0" w:line="240" w:lineRule="auto"/>
        <w:ind w:left="762" w:firstLine="0"/>
        <w:jc w:val="center"/>
        <w:rPr>
          <w:rFonts w:eastAsia="Calibri"/>
          <w:color w:val="auto"/>
          <w:lang w:eastAsia="en-US"/>
        </w:rPr>
      </w:pPr>
      <w:r w:rsidRPr="00E3142D">
        <w:rPr>
          <w:rFonts w:eastAsia="Calibri"/>
          <w:color w:val="auto"/>
          <w:position w:val="-28"/>
          <w:lang w:eastAsia="en-US"/>
        </w:rPr>
        <w:object w:dxaOrig="2480" w:dyaOrig="680" w14:anchorId="4AA8EE11">
          <v:shape id="_x0000_i1042" type="#_x0000_t75" style="width:146.25pt;height:43.5pt" o:ole="" fillcolor="window">
            <v:imagedata r:id="rId42" o:title=""/>
          </v:shape>
          <o:OLEObject Type="Embed" ProgID="Equation.3" ShapeID="_x0000_i1042" DrawAspect="Content" ObjectID="_1731251945" r:id="rId43"/>
        </w:object>
      </w:r>
    </w:p>
    <w:p w14:paraId="2113BE4E"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0D7871C2"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60B0D486" w14:textId="77777777" w:rsidR="00E3142D" w:rsidRPr="00E3142D" w:rsidRDefault="00E3142D" w:rsidP="00E3142D">
      <w:pPr>
        <w:widowControl w:val="0"/>
        <w:shd w:val="clear" w:color="auto" w:fill="FFFFFF"/>
        <w:spacing w:after="0" w:line="240" w:lineRule="auto"/>
        <w:ind w:left="762" w:firstLine="0"/>
        <w:rPr>
          <w:rFonts w:eastAsia="Calibri"/>
          <w:color w:val="auto"/>
          <w:lang w:eastAsia="en-US"/>
        </w:rPr>
      </w:pPr>
      <w:r w:rsidRPr="00E3142D">
        <w:rPr>
          <w:rFonts w:eastAsia="Calibri"/>
          <w:color w:val="auto"/>
          <w:lang w:eastAsia="en-US"/>
        </w:rPr>
        <w:t>Donde:</w:t>
      </w:r>
    </w:p>
    <w:p w14:paraId="7AD60998"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tbl>
      <w:tblPr>
        <w:tblW w:w="7229" w:type="dxa"/>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10"/>
        <w:gridCol w:w="5719"/>
      </w:tblGrid>
      <w:tr w:rsidR="00E3142D" w:rsidRPr="00E3142D" w14:paraId="2AF0194C" w14:textId="77777777" w:rsidTr="00EC1AE2">
        <w:tc>
          <w:tcPr>
            <w:tcW w:w="1510" w:type="dxa"/>
          </w:tcPr>
          <w:p w14:paraId="003B0229"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2"/>
                <w:lang w:eastAsia="en-US"/>
              </w:rPr>
              <w:object w:dxaOrig="700" w:dyaOrig="360" w14:anchorId="51E7F06C">
                <v:shape id="_x0000_i1043" type="#_x0000_t75" style="width:36.75pt;height:21.75pt" o:ole="" fillcolor="window">
                  <v:imagedata r:id="rId44" o:title=""/>
                </v:shape>
                <o:OLEObject Type="Embed" ProgID="Equation.3" ShapeID="_x0000_i1043" DrawAspect="Content" ObjectID="_1731251946" r:id="rId45"/>
              </w:object>
            </w:r>
          </w:p>
        </w:tc>
        <w:tc>
          <w:tcPr>
            <w:tcW w:w="5719" w:type="dxa"/>
          </w:tcPr>
          <w:p w14:paraId="60515328"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real de régimen expresada en términos anuales para el período </w:t>
            </w:r>
            <w:r w:rsidRPr="00E3142D">
              <w:rPr>
                <w:rFonts w:eastAsia="Calibri"/>
                <w:color w:val="auto"/>
                <w:lang w:eastAsia="en-US"/>
              </w:rPr>
              <w:sym w:font="Symbol" w:char="F063"/>
            </w:r>
          </w:p>
        </w:tc>
      </w:tr>
      <w:tr w:rsidR="00E3142D" w:rsidRPr="00E3142D" w14:paraId="4355CA8E" w14:textId="77777777" w:rsidTr="00EC1AE2">
        <w:trPr>
          <w:trHeight w:val="708"/>
        </w:trPr>
        <w:tc>
          <w:tcPr>
            <w:tcW w:w="1510" w:type="dxa"/>
          </w:tcPr>
          <w:p w14:paraId="58074470"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0"/>
                <w:lang w:eastAsia="en-US"/>
              </w:rPr>
              <w:object w:dxaOrig="380" w:dyaOrig="300" w14:anchorId="1726DDF8">
                <v:shape id="_x0000_i1044" type="#_x0000_t75" style="width:28.5pt;height:21.75pt" o:ole="">
                  <v:imagedata r:id="rId46" o:title=""/>
                </v:shape>
                <o:OLEObject Type="Embed" ProgID="Equation.3" ShapeID="_x0000_i1044" DrawAspect="Content" ObjectID="_1731251947" r:id="rId47"/>
              </w:object>
            </w:r>
          </w:p>
        </w:tc>
        <w:tc>
          <w:tcPr>
            <w:tcW w:w="5719" w:type="dxa"/>
          </w:tcPr>
          <w:p w14:paraId="25081D39" w14:textId="77777777" w:rsidR="00E3142D" w:rsidRPr="00E3142D" w:rsidRDefault="00E3142D" w:rsidP="00E3142D">
            <w:pPr>
              <w:widowControl w:val="0"/>
              <w:spacing w:after="0" w:line="240" w:lineRule="auto"/>
              <w:ind w:left="0" w:firstLine="0"/>
              <w:rPr>
                <w:rFonts w:eastAsia="Calibri"/>
                <w:color w:val="auto"/>
                <w:highlight w:val="yellow"/>
                <w:lang w:eastAsia="en-US"/>
              </w:rPr>
            </w:pPr>
            <w:r w:rsidRPr="00E3142D">
              <w:rPr>
                <w:rFonts w:eastAsia="Calibri"/>
                <w:color w:val="auto"/>
                <w:lang w:eastAsia="en-US"/>
              </w:rPr>
              <w:t xml:space="preserve">Peso relativo del activo neto del fondo F sobre el activo neto al final del periodo </w:t>
            </w:r>
            <w:r w:rsidRPr="00E3142D">
              <w:rPr>
                <w:rFonts w:eastAsia="Calibri"/>
                <w:color w:val="auto"/>
                <w:lang w:eastAsia="en-US"/>
              </w:rPr>
              <w:sym w:font="Symbol" w:char="F063"/>
            </w:r>
            <w:r w:rsidRPr="00E3142D">
              <w:rPr>
                <w:rFonts w:eastAsia="Calibri"/>
                <w:color w:val="auto"/>
                <w:lang w:eastAsia="en-US"/>
              </w:rPr>
              <w:t>.</w:t>
            </w:r>
          </w:p>
        </w:tc>
      </w:tr>
      <w:tr w:rsidR="00E3142D" w:rsidRPr="00E3142D" w14:paraId="7C9872AA" w14:textId="77777777" w:rsidTr="00EC1AE2">
        <w:trPr>
          <w:trHeight w:val="343"/>
        </w:trPr>
        <w:tc>
          <w:tcPr>
            <w:tcW w:w="1510" w:type="dxa"/>
          </w:tcPr>
          <w:p w14:paraId="4D4881ED"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position w:val="-12"/>
                <w:lang w:eastAsia="en-US"/>
              </w:rPr>
              <w:object w:dxaOrig="639" w:dyaOrig="360" w14:anchorId="7160DCAD">
                <v:shape id="_x0000_i1045" type="#_x0000_t75" style="width:33.75pt;height:21.75pt" o:ole="" fillcolor="window">
                  <v:imagedata r:id="rId48" o:title=""/>
                </v:shape>
                <o:OLEObject Type="Embed" ProgID="Equation.3" ShapeID="_x0000_i1045" DrawAspect="Content" ObjectID="_1731251948" r:id="rId49"/>
              </w:object>
            </w:r>
          </w:p>
        </w:tc>
        <w:tc>
          <w:tcPr>
            <w:tcW w:w="5719" w:type="dxa"/>
          </w:tcPr>
          <w:p w14:paraId="6658ED67"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 xml:space="preserve">Rentabilidad real del fondo F expresada en términos anuales para el período </w:t>
            </w:r>
            <w:r w:rsidRPr="00E3142D">
              <w:rPr>
                <w:rFonts w:eastAsia="Calibri"/>
                <w:color w:val="auto"/>
                <w:lang w:eastAsia="en-US"/>
              </w:rPr>
              <w:sym w:font="Symbol" w:char="F063"/>
            </w:r>
          </w:p>
        </w:tc>
      </w:tr>
      <w:tr w:rsidR="00E3142D" w:rsidRPr="00E3142D" w14:paraId="389C333E" w14:textId="77777777" w:rsidTr="00EC1AE2">
        <w:tc>
          <w:tcPr>
            <w:tcW w:w="1510" w:type="dxa"/>
          </w:tcPr>
          <w:p w14:paraId="7F73D353" w14:textId="77777777" w:rsidR="00E3142D" w:rsidRPr="00E3142D" w:rsidRDefault="00E3142D" w:rsidP="00E3142D">
            <w:pPr>
              <w:widowControl w:val="0"/>
              <w:spacing w:after="0" w:line="240" w:lineRule="auto"/>
              <w:ind w:left="214" w:right="306" w:firstLine="0"/>
              <w:jc w:val="center"/>
              <w:rPr>
                <w:rFonts w:eastAsia="Calibri"/>
                <w:color w:val="auto"/>
                <w:lang w:eastAsia="en-US"/>
              </w:rPr>
            </w:pPr>
            <w:r w:rsidRPr="00E3142D">
              <w:rPr>
                <w:rFonts w:eastAsia="Calibri"/>
                <w:color w:val="auto"/>
                <w:lang w:eastAsia="en-US"/>
              </w:rPr>
              <w:t>n</w:t>
            </w:r>
          </w:p>
        </w:tc>
        <w:tc>
          <w:tcPr>
            <w:tcW w:w="5719" w:type="dxa"/>
          </w:tcPr>
          <w:p w14:paraId="197F02D4" w14:textId="77777777" w:rsidR="00E3142D" w:rsidRPr="00E3142D" w:rsidRDefault="00E3142D" w:rsidP="00E3142D">
            <w:pPr>
              <w:widowControl w:val="0"/>
              <w:spacing w:after="0" w:line="240" w:lineRule="auto"/>
              <w:ind w:left="0" w:firstLine="0"/>
              <w:rPr>
                <w:rFonts w:eastAsia="Calibri"/>
                <w:color w:val="auto"/>
                <w:lang w:eastAsia="en-US"/>
              </w:rPr>
            </w:pPr>
            <w:r w:rsidRPr="00E3142D">
              <w:rPr>
                <w:rFonts w:eastAsia="Calibri"/>
                <w:color w:val="auto"/>
                <w:lang w:eastAsia="en-US"/>
              </w:rPr>
              <w:t>Número de fondos pertenecientes al régimen</w:t>
            </w:r>
          </w:p>
        </w:tc>
      </w:tr>
    </w:tbl>
    <w:p w14:paraId="5B669C27"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0A815AB7" w14:textId="77777777" w:rsidR="00E3142D" w:rsidRPr="00E3142D" w:rsidRDefault="00E3142D" w:rsidP="00E3142D">
      <w:pPr>
        <w:widowControl w:val="0"/>
        <w:shd w:val="solid" w:color="FFFFFF" w:fill="auto"/>
        <w:spacing w:after="0" w:line="240" w:lineRule="auto"/>
        <w:ind w:left="762" w:firstLine="0"/>
        <w:rPr>
          <w:rFonts w:eastAsia="Calibri"/>
          <w:color w:val="auto"/>
          <w:lang w:eastAsia="en-US"/>
        </w:rPr>
      </w:pPr>
    </w:p>
    <w:p w14:paraId="1F81CA17" w14:textId="77777777" w:rsidR="00E3142D" w:rsidRPr="00E3142D" w:rsidRDefault="00E3142D" w:rsidP="00E3142D">
      <w:pPr>
        <w:spacing w:after="0" w:line="240" w:lineRule="auto"/>
        <w:ind w:left="0" w:firstLine="0"/>
        <w:rPr>
          <w:rFonts w:eastAsia="Calibri"/>
          <w:b/>
          <w:bCs/>
          <w:color w:val="auto"/>
          <w:szCs w:val="18"/>
          <w:lang w:eastAsia="en-US"/>
        </w:rPr>
      </w:pPr>
      <w:r w:rsidRPr="00E3142D">
        <w:rPr>
          <w:rFonts w:eastAsia="Calibri"/>
          <w:b/>
          <w:bCs/>
          <w:color w:val="auto"/>
          <w:szCs w:val="18"/>
          <w:lang w:eastAsia="en-US"/>
        </w:rPr>
        <w:t>Artículo 7. Metodología de cálculo de la rentabilidad de nuevos fondos</w:t>
      </w:r>
    </w:p>
    <w:p w14:paraId="5132A341" w14:textId="77777777" w:rsidR="00E3142D" w:rsidRPr="00E3142D" w:rsidRDefault="00E3142D" w:rsidP="00E3142D">
      <w:pPr>
        <w:widowControl w:val="0"/>
        <w:shd w:val="solid" w:color="FFFFFF" w:fill="auto"/>
        <w:spacing w:after="0" w:line="240" w:lineRule="auto"/>
        <w:ind w:left="0" w:firstLine="0"/>
        <w:rPr>
          <w:rFonts w:eastAsia="Calibri"/>
          <w:color w:val="auto"/>
          <w:lang w:eastAsia="en-US"/>
        </w:rPr>
      </w:pPr>
    </w:p>
    <w:p w14:paraId="1EADD8B8" w14:textId="77777777" w:rsidR="00E3142D" w:rsidRPr="00E3142D" w:rsidRDefault="00E3142D" w:rsidP="00E3142D">
      <w:pPr>
        <w:widowControl w:val="0"/>
        <w:shd w:val="clear" w:color="auto" w:fill="FFFFFF"/>
        <w:spacing w:after="0" w:line="240" w:lineRule="auto"/>
        <w:ind w:left="54" w:firstLine="0"/>
        <w:rPr>
          <w:rFonts w:eastAsia="Calibri"/>
          <w:color w:val="auto"/>
          <w:lang w:eastAsia="en-US"/>
        </w:rPr>
      </w:pPr>
      <w:r w:rsidRPr="00E3142D">
        <w:rPr>
          <w:rFonts w:eastAsia="Calibri"/>
          <w:color w:val="auto"/>
          <w:lang w:eastAsia="en-US"/>
        </w:rPr>
        <w:t>En caso que entre en funcionamiento un nuevo fondo administrado por una entidad autorizada, las rentabilidades se calcularán hasta tanto se cumplan los plazos establecidos, según la metodología prevista en su Artículo 1.</w:t>
      </w:r>
    </w:p>
    <w:p w14:paraId="0E5FD819" w14:textId="77777777" w:rsidR="00E3142D" w:rsidRPr="00E3142D" w:rsidRDefault="00E3142D" w:rsidP="00E3142D">
      <w:pPr>
        <w:widowControl w:val="0"/>
        <w:shd w:val="solid" w:color="FFFFFF" w:fill="auto"/>
        <w:spacing w:after="0" w:line="240" w:lineRule="auto"/>
        <w:ind w:left="54" w:firstLine="0"/>
        <w:rPr>
          <w:rFonts w:eastAsia="Calibri"/>
          <w:color w:val="auto"/>
          <w:lang w:eastAsia="en-US"/>
        </w:rPr>
      </w:pPr>
    </w:p>
    <w:p w14:paraId="0DF1F4FA" w14:textId="77777777" w:rsidR="00E3142D" w:rsidRPr="00E3142D" w:rsidRDefault="00E3142D" w:rsidP="00E3142D">
      <w:pPr>
        <w:widowControl w:val="0"/>
        <w:shd w:val="clear" w:color="auto" w:fill="FFFFFF"/>
        <w:spacing w:after="0" w:line="240" w:lineRule="auto"/>
        <w:ind w:left="54" w:firstLine="0"/>
        <w:rPr>
          <w:rFonts w:eastAsia="Calibri"/>
          <w:color w:val="auto"/>
          <w:lang w:eastAsia="en-US"/>
        </w:rPr>
      </w:pPr>
      <w:r w:rsidRPr="00E3142D">
        <w:rPr>
          <w:rFonts w:eastAsia="Calibri"/>
          <w:color w:val="auto"/>
          <w:lang w:eastAsia="en-US"/>
        </w:rPr>
        <w:lastRenderedPageBreak/>
        <w:t>Durante el periodo previo al cumplimiento del plazo para rentabilidades mayores a un año (12 meses), las entidades estimarán, la rentabilidad para el plazo de un año (12 meses), mientras alcanzan el plazo requerido. A partir de que se cumpla este el plazo, se dejará de calcular la rentabilidad anual.</w:t>
      </w:r>
    </w:p>
    <w:p w14:paraId="164FCFA6" w14:textId="77777777" w:rsidR="00E3142D" w:rsidRPr="00E3142D" w:rsidRDefault="00E3142D" w:rsidP="00E3142D">
      <w:pPr>
        <w:widowControl w:val="0"/>
        <w:shd w:val="solid" w:color="FFFFFF" w:fill="auto"/>
        <w:spacing w:after="0" w:line="240" w:lineRule="auto"/>
        <w:ind w:left="54" w:firstLine="0"/>
        <w:rPr>
          <w:rFonts w:eastAsia="Calibri"/>
          <w:color w:val="auto"/>
          <w:lang w:eastAsia="en-US"/>
        </w:rPr>
      </w:pPr>
    </w:p>
    <w:p w14:paraId="0EDDC8F5" w14:textId="77777777" w:rsidR="00E3142D" w:rsidRPr="00E3142D" w:rsidRDefault="00E3142D" w:rsidP="00E3142D">
      <w:pPr>
        <w:widowControl w:val="0"/>
        <w:shd w:val="solid" w:color="FFFFFF" w:fill="auto"/>
        <w:spacing w:after="0" w:line="240" w:lineRule="auto"/>
        <w:ind w:left="0" w:firstLine="0"/>
        <w:rPr>
          <w:rFonts w:eastAsia="Calibri"/>
          <w:color w:val="2E74B5"/>
          <w:lang w:eastAsia="en-US"/>
        </w:rPr>
      </w:pPr>
    </w:p>
    <w:p w14:paraId="6D731493" w14:textId="77777777" w:rsidR="00E3142D" w:rsidRPr="00E3142D" w:rsidRDefault="00E3142D" w:rsidP="00E3142D">
      <w:pPr>
        <w:autoSpaceDE w:val="0"/>
        <w:autoSpaceDN w:val="0"/>
        <w:adjustRightInd w:val="0"/>
        <w:spacing w:after="0" w:line="240" w:lineRule="auto"/>
        <w:ind w:left="0" w:firstLine="0"/>
        <w:rPr>
          <w:rFonts w:eastAsia="Calibri"/>
          <w:b/>
          <w:bCs/>
          <w:color w:val="auto"/>
          <w:lang w:eastAsia="en-US"/>
        </w:rPr>
      </w:pPr>
      <w:r w:rsidRPr="00E3142D">
        <w:rPr>
          <w:rFonts w:eastAsia="Calibri"/>
          <w:b/>
          <w:bCs/>
          <w:color w:val="auto"/>
          <w:lang w:eastAsia="en-US"/>
        </w:rPr>
        <w:t>Artículo 8. Vigencia</w:t>
      </w:r>
    </w:p>
    <w:p w14:paraId="72E946BB" w14:textId="77777777" w:rsidR="00E3142D" w:rsidRPr="00E3142D" w:rsidRDefault="00E3142D" w:rsidP="00E3142D">
      <w:pPr>
        <w:spacing w:after="0" w:line="240" w:lineRule="auto"/>
        <w:ind w:left="0" w:firstLine="0"/>
        <w:jc w:val="left"/>
        <w:rPr>
          <w:color w:val="auto"/>
          <w:szCs w:val="24"/>
          <w:lang w:val="es-CR" w:eastAsia="es-CR"/>
        </w:rPr>
      </w:pPr>
    </w:p>
    <w:p w14:paraId="7A4B7389" w14:textId="77777777" w:rsidR="00E3142D" w:rsidRPr="00E3142D" w:rsidRDefault="00E3142D" w:rsidP="00E3142D">
      <w:pPr>
        <w:spacing w:after="0" w:line="240" w:lineRule="auto"/>
        <w:ind w:left="0" w:firstLine="0"/>
        <w:jc w:val="left"/>
        <w:rPr>
          <w:color w:val="auto"/>
          <w:szCs w:val="24"/>
          <w:lang w:val="es-CR" w:eastAsia="es-CR"/>
        </w:rPr>
      </w:pPr>
      <w:r w:rsidRPr="00E3142D">
        <w:rPr>
          <w:color w:val="auto"/>
          <w:szCs w:val="24"/>
          <w:lang w:val="es-CR" w:eastAsia="es-CR"/>
        </w:rPr>
        <w:t>Este acuerdo rige a partir de su comunicación.</w:t>
      </w:r>
    </w:p>
    <w:p w14:paraId="3B9C357F" w14:textId="77777777" w:rsidR="00527682" w:rsidRPr="00E3142D" w:rsidRDefault="00527682" w:rsidP="00E3142D">
      <w:pPr>
        <w:spacing w:after="0" w:line="248" w:lineRule="auto"/>
        <w:ind w:left="421"/>
        <w:rPr>
          <w:lang w:val="es-CR"/>
        </w:rPr>
      </w:pPr>
    </w:p>
    <w:sectPr w:rsidR="00527682" w:rsidRPr="00E3142D">
      <w:headerReference w:type="even" r:id="rId50"/>
      <w:headerReference w:type="default" r:id="rId51"/>
      <w:footerReference w:type="even" r:id="rId52"/>
      <w:footerReference w:type="default" r:id="rId53"/>
      <w:headerReference w:type="first" r:id="rId54"/>
      <w:footerReference w:type="first" r:id="rId55"/>
      <w:pgSz w:w="12240" w:h="15840"/>
      <w:pgMar w:top="2180" w:right="1409" w:bottom="1380" w:left="992" w:header="72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248E1" w14:textId="77777777" w:rsidR="0073431A" w:rsidRDefault="0073431A">
      <w:pPr>
        <w:spacing w:after="0" w:line="240" w:lineRule="auto"/>
      </w:pPr>
      <w:r>
        <w:separator/>
      </w:r>
    </w:p>
  </w:endnote>
  <w:endnote w:type="continuationSeparator" w:id="0">
    <w:p w14:paraId="4EE2A69F" w14:textId="77777777" w:rsidR="0073431A" w:rsidRDefault="0073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89E61" w14:textId="77777777" w:rsidR="00527682" w:rsidRDefault="00A10BF0">
    <w:pPr>
      <w:spacing w:after="0" w:line="251" w:lineRule="auto"/>
      <w:ind w:left="42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9F5C863" wp14:editId="15156CF0">
              <wp:simplePos x="0" y="0"/>
              <wp:positionH relativeFrom="page">
                <wp:posOffset>881634</wp:posOffset>
              </wp:positionH>
              <wp:positionV relativeFrom="page">
                <wp:posOffset>9291066</wp:posOffset>
              </wp:positionV>
              <wp:extent cx="6010657" cy="6096"/>
              <wp:effectExtent l="0" t="0" r="0" b="0"/>
              <wp:wrapSquare wrapText="bothSides"/>
              <wp:docPr id="11743" name="Group 11743"/>
              <wp:cNvGraphicFramePr/>
              <a:graphic xmlns:a="http://schemas.openxmlformats.org/drawingml/2006/main">
                <a:graphicData uri="http://schemas.microsoft.com/office/word/2010/wordprocessingGroup">
                  <wpg:wgp>
                    <wpg:cNvGrpSpPr/>
                    <wpg:grpSpPr>
                      <a:xfrm>
                        <a:off x="0" y="0"/>
                        <a:ext cx="6010657" cy="6096"/>
                        <a:chOff x="0" y="0"/>
                        <a:chExt cx="6010657" cy="6096"/>
                      </a:xfrm>
                    </wpg:grpSpPr>
                    <wps:wsp>
                      <wps:cNvPr id="12192" name="Shape 12192"/>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B6E439" id="Group 11743" o:spid="_x0000_s1026" style="position:absolute;margin-left:69.4pt;margin-top:731.6pt;width:473.3pt;height:.5pt;z-index:251661312;mso-position-horizontal-relative:page;mso-position-vertical-relative:page" coordsize="60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">
              <v:shape id="Shape 12192" o:spid="_x0000_s1027" style="position:absolute;width:60106;height:91;visibility:visible;mso-wrap-style:square;v-text-anchor:top" coordsize="6010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" path="m,l6010657,r,9144l,9144,,e" fillcolor="black" stroked="f" strokeweight="0">
                <v:stroke miterlimit="83231f" joinstyle="miter"/>
                <v:path arrowok="t" textboxrect="0,0,6010657,9144"/>
              </v:shape>
              <w10:wrap type="square" anchorx="page" anchory="page"/>
            </v:group>
          </w:pict>
        </mc:Fallback>
      </mc:AlternateContent>
    </w:r>
    <w:r>
      <w:t xml:space="preserve">  </w:t>
    </w:r>
    <w:r>
      <w:rPr>
        <w:b/>
        <w:sz w:val="20"/>
      </w:rPr>
      <w:t xml:space="preserve">SUPEN </w:t>
    </w:r>
    <w:r>
      <w:rPr>
        <w:i/>
        <w:sz w:val="20"/>
      </w:rPr>
      <w:t xml:space="preserve">Teléfono 243-44-46    243-44-45  Fax 243-44-44 supen@supen.fi.cr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1B6C" w14:textId="77777777" w:rsidR="00527682" w:rsidRDefault="00A10BF0">
    <w:pPr>
      <w:spacing w:after="0" w:line="251" w:lineRule="auto"/>
      <w:ind w:left="42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200E709" wp14:editId="27AC38C9">
              <wp:simplePos x="0" y="0"/>
              <wp:positionH relativeFrom="page">
                <wp:posOffset>881634</wp:posOffset>
              </wp:positionH>
              <wp:positionV relativeFrom="page">
                <wp:posOffset>9291066</wp:posOffset>
              </wp:positionV>
              <wp:extent cx="6010657" cy="6096"/>
              <wp:effectExtent l="0" t="0" r="0" b="0"/>
              <wp:wrapSquare wrapText="bothSides"/>
              <wp:docPr id="11715" name="Group 11715"/>
              <wp:cNvGraphicFramePr/>
              <a:graphic xmlns:a="http://schemas.openxmlformats.org/drawingml/2006/main">
                <a:graphicData uri="http://schemas.microsoft.com/office/word/2010/wordprocessingGroup">
                  <wpg:wgp>
                    <wpg:cNvGrpSpPr/>
                    <wpg:grpSpPr>
                      <a:xfrm>
                        <a:off x="0" y="0"/>
                        <a:ext cx="6010657" cy="6096"/>
                        <a:chOff x="0" y="0"/>
                        <a:chExt cx="6010657" cy="6096"/>
                      </a:xfrm>
                    </wpg:grpSpPr>
                    <wps:wsp>
                      <wps:cNvPr id="12190" name="Shape 12190"/>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F2F593F" id="Group 11715" o:spid="_x0000_s1026" style="position:absolute;margin-left:69.4pt;margin-top:731.6pt;width:473.3pt;height:.5pt;z-index:251662336;mso-position-horizontal-relative:page;mso-position-vertical-relative:page" coordsize="60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">
              <v:shape id="Shape 12190" o:spid="_x0000_s1027" style="position:absolute;width:60106;height:91;visibility:visible;mso-wrap-style:square;v-text-anchor:top" coordsize="6010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" path="m,l6010657,r,9144l,9144,,e" fillcolor="black" stroked="f" strokeweight="0">
                <v:stroke miterlimit="83231f" joinstyle="miter"/>
                <v:path arrowok="t" textboxrect="0,0,6010657,9144"/>
              </v:shape>
              <w10:wrap type="square" anchorx="page" anchory="page"/>
            </v:group>
          </w:pict>
        </mc:Fallback>
      </mc:AlternateContent>
    </w:r>
    <w:r>
      <w:t xml:space="preserve">  </w:t>
    </w:r>
    <w:r>
      <w:rPr>
        <w:b/>
        <w:sz w:val="20"/>
      </w:rPr>
      <w:t xml:space="preserve">SUPEN </w:t>
    </w:r>
    <w:r>
      <w:rPr>
        <w:i/>
        <w:sz w:val="20"/>
      </w:rPr>
      <w:t xml:space="preserve">Teléfono 243-44-46    243-44-45  Fax 243-44-44 supen@supen.fi.cr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D0006" w14:textId="77777777" w:rsidR="00527682" w:rsidRDefault="00A10BF0">
    <w:pPr>
      <w:spacing w:after="0" w:line="251" w:lineRule="auto"/>
      <w:ind w:left="426"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989A439" wp14:editId="706DF732">
              <wp:simplePos x="0" y="0"/>
              <wp:positionH relativeFrom="page">
                <wp:posOffset>881634</wp:posOffset>
              </wp:positionH>
              <wp:positionV relativeFrom="page">
                <wp:posOffset>9291066</wp:posOffset>
              </wp:positionV>
              <wp:extent cx="6010657" cy="6096"/>
              <wp:effectExtent l="0" t="0" r="0" b="0"/>
              <wp:wrapSquare wrapText="bothSides"/>
              <wp:docPr id="11687" name="Group 11687"/>
              <wp:cNvGraphicFramePr/>
              <a:graphic xmlns:a="http://schemas.openxmlformats.org/drawingml/2006/main">
                <a:graphicData uri="http://schemas.microsoft.com/office/word/2010/wordprocessingGroup">
                  <wpg:wgp>
                    <wpg:cNvGrpSpPr/>
                    <wpg:grpSpPr>
                      <a:xfrm>
                        <a:off x="0" y="0"/>
                        <a:ext cx="6010657" cy="6096"/>
                        <a:chOff x="0" y="0"/>
                        <a:chExt cx="6010657" cy="6096"/>
                      </a:xfrm>
                    </wpg:grpSpPr>
                    <wps:wsp>
                      <wps:cNvPr id="12188" name="Shape 12188"/>
                      <wps:cNvSpPr/>
                      <wps:spPr>
                        <a:xfrm>
                          <a:off x="0" y="0"/>
                          <a:ext cx="6010657" cy="9144"/>
                        </a:xfrm>
                        <a:custGeom>
                          <a:avLst/>
                          <a:gdLst/>
                          <a:ahLst/>
                          <a:cxnLst/>
                          <a:rect l="0" t="0" r="0" b="0"/>
                          <a:pathLst>
                            <a:path w="6010657" h="9144">
                              <a:moveTo>
                                <a:pt x="0" y="0"/>
                              </a:moveTo>
                              <a:lnTo>
                                <a:pt x="6010657" y="0"/>
                              </a:lnTo>
                              <a:lnTo>
                                <a:pt x="6010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F03305D" id="Group 11687" o:spid="_x0000_s1026" style="position:absolute;margin-left:69.4pt;margin-top:731.6pt;width:473.3pt;height:.5pt;z-index:251663360;mso-position-horizontal-relative:page;mso-position-vertical-relative:page" coordsize="60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">
              <v:shape id="Shape 12188" o:spid="_x0000_s1027" style="position:absolute;width:60106;height:91;visibility:visible;mso-wrap-style:square;v-text-anchor:top" coordsize="6010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" path="m,l6010657,r,9144l,9144,,e" fillcolor="black" stroked="f" strokeweight="0">
                <v:stroke miterlimit="83231f" joinstyle="miter"/>
                <v:path arrowok="t" textboxrect="0,0,6010657,9144"/>
              </v:shape>
              <w10:wrap type="square" anchorx="page" anchory="page"/>
            </v:group>
          </w:pict>
        </mc:Fallback>
      </mc:AlternateContent>
    </w:r>
    <w:r>
      <w:t xml:space="preserve">  </w:t>
    </w:r>
    <w:r>
      <w:rPr>
        <w:b/>
        <w:sz w:val="20"/>
      </w:rPr>
      <w:t xml:space="preserve">SUPEN </w:t>
    </w:r>
    <w:r>
      <w:rPr>
        <w:i/>
        <w:sz w:val="20"/>
      </w:rPr>
      <w:t xml:space="preserve">Teléfono 243-44-46    243-44-45  Fax 243-44-44 supen@supen.fi.cr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6A45E" w14:textId="77777777" w:rsidR="0073431A" w:rsidRDefault="0073431A">
      <w:pPr>
        <w:spacing w:after="0" w:line="240" w:lineRule="auto"/>
      </w:pPr>
      <w:r>
        <w:separator/>
      </w:r>
    </w:p>
  </w:footnote>
  <w:footnote w:type="continuationSeparator" w:id="0">
    <w:p w14:paraId="345CA136" w14:textId="77777777" w:rsidR="0073431A" w:rsidRDefault="0073431A">
      <w:pPr>
        <w:spacing w:after="0" w:line="240" w:lineRule="auto"/>
      </w:pPr>
      <w:r>
        <w:continuationSeparator/>
      </w:r>
    </w:p>
  </w:footnote>
  <w:footnote w:id="1">
    <w:p w14:paraId="60A16025" w14:textId="229B4CFE" w:rsidR="00595EAA" w:rsidRPr="00595EAA" w:rsidRDefault="00595EAA">
      <w:pPr>
        <w:pStyle w:val="Textonotapie"/>
        <w:rPr>
          <w:lang w:val="es-CR"/>
        </w:rPr>
      </w:pPr>
      <w:r>
        <w:rPr>
          <w:rStyle w:val="Refdenotaalpie"/>
        </w:rPr>
        <w:footnoteRef/>
      </w:r>
      <w:r>
        <w:t xml:space="preserve"> </w:t>
      </w:r>
      <w:r w:rsidR="00AF2426" w:rsidRPr="00AF2426">
        <w:rPr>
          <w:lang w:val="es-CR"/>
        </w:rPr>
        <w:t xml:space="preserve">Reformado íntegramente por el Acuerdo </w:t>
      </w:r>
      <w:hyperlink r:id="rId1" w:history="1">
        <w:r w:rsidR="00AF2426" w:rsidRPr="00AF2426">
          <w:rPr>
            <w:rStyle w:val="Hipervnculo"/>
            <w:lang w:val="es-CR"/>
          </w:rPr>
          <w:t>SP-A-192</w:t>
        </w:r>
      </w:hyperlink>
      <w:r w:rsidR="00AF2426" w:rsidRPr="00AF2426">
        <w:rPr>
          <w:lang w:val="es-CR"/>
        </w:rPr>
        <w:t>, de las catorce horas del siete de diciembre del dos mil diecisiete</w:t>
      </w:r>
      <w:r>
        <w:rPr>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B063" w14:textId="77777777" w:rsidR="00527682" w:rsidRDefault="00A10BF0">
    <w:pPr>
      <w:spacing w:after="0" w:line="259" w:lineRule="auto"/>
      <w:ind w:left="426" w:firstLine="0"/>
      <w:jc w:val="left"/>
    </w:pPr>
    <w:r>
      <w:rPr>
        <w:noProof/>
      </w:rPr>
      <w:drawing>
        <wp:anchor distT="0" distB="0" distL="114300" distR="114300" simplePos="0" relativeHeight="251658240" behindDoc="0" locked="0" layoutInCell="1" allowOverlap="0" wp14:anchorId="3AE5813E" wp14:editId="119C009E">
          <wp:simplePos x="0" y="0"/>
          <wp:positionH relativeFrom="page">
            <wp:posOffset>900684</wp:posOffset>
          </wp:positionH>
          <wp:positionV relativeFrom="page">
            <wp:posOffset>457200</wp:posOffset>
          </wp:positionV>
          <wp:extent cx="1656588" cy="6477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6588" cy="647700"/>
                  </a:xfrm>
                  <a:prstGeom prst="rect">
                    <a:avLst/>
                  </a:prstGeom>
                </pic:spPr>
              </pic:pic>
            </a:graphicData>
          </a:graphic>
        </wp:anchor>
      </w:drawing>
    </w:r>
    <w:r>
      <w:t xml:space="preserve"> </w:t>
    </w:r>
  </w:p>
  <w:p w14:paraId="42DA9DC8" w14:textId="77777777" w:rsidR="00527682" w:rsidRDefault="00A10BF0">
    <w:pPr>
      <w:spacing w:after="59" w:line="259" w:lineRule="auto"/>
      <w:ind w:left="426" w:firstLine="0"/>
      <w:jc w:val="left"/>
    </w:pPr>
    <w:r>
      <w:rPr>
        <w:i/>
        <w:sz w:val="16"/>
      </w:rPr>
      <w:t xml:space="preserve"> </w:t>
    </w:r>
  </w:p>
  <w:p w14:paraId="57E3D700" w14:textId="77777777" w:rsidR="00527682" w:rsidRDefault="00A10BF0">
    <w:pPr>
      <w:spacing w:after="0" w:line="259" w:lineRule="auto"/>
      <w:ind w:left="426"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8D525" w14:textId="77777777" w:rsidR="00527682" w:rsidRDefault="00A10BF0">
    <w:pPr>
      <w:spacing w:after="0" w:line="259" w:lineRule="auto"/>
      <w:ind w:left="426" w:firstLine="0"/>
      <w:jc w:val="left"/>
    </w:pPr>
    <w:r>
      <w:rPr>
        <w:noProof/>
      </w:rPr>
      <w:drawing>
        <wp:anchor distT="0" distB="0" distL="114300" distR="114300" simplePos="0" relativeHeight="251659264" behindDoc="0" locked="0" layoutInCell="1" allowOverlap="0" wp14:anchorId="28D05FC1" wp14:editId="5CF624FC">
          <wp:simplePos x="0" y="0"/>
          <wp:positionH relativeFrom="page">
            <wp:posOffset>900684</wp:posOffset>
          </wp:positionH>
          <wp:positionV relativeFrom="page">
            <wp:posOffset>457200</wp:posOffset>
          </wp:positionV>
          <wp:extent cx="1656588" cy="647700"/>
          <wp:effectExtent l="0" t="0" r="0" b="0"/>
          <wp:wrapSquare wrapText="bothSides"/>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6588" cy="647700"/>
                  </a:xfrm>
                  <a:prstGeom prst="rect">
                    <a:avLst/>
                  </a:prstGeom>
                </pic:spPr>
              </pic:pic>
            </a:graphicData>
          </a:graphic>
        </wp:anchor>
      </w:drawing>
    </w:r>
    <w:r>
      <w:t xml:space="preserve"> </w:t>
    </w:r>
  </w:p>
  <w:p w14:paraId="28E5F0EB" w14:textId="77777777" w:rsidR="00527682" w:rsidRDefault="00A10BF0">
    <w:pPr>
      <w:spacing w:after="59" w:line="259" w:lineRule="auto"/>
      <w:ind w:left="426" w:firstLine="0"/>
      <w:jc w:val="left"/>
    </w:pPr>
    <w:r>
      <w:rPr>
        <w:i/>
        <w:sz w:val="16"/>
      </w:rPr>
      <w:t xml:space="preserve"> </w:t>
    </w:r>
  </w:p>
  <w:p w14:paraId="1858203F" w14:textId="77777777" w:rsidR="00527682" w:rsidRDefault="00A10BF0">
    <w:pPr>
      <w:spacing w:after="0" w:line="259" w:lineRule="auto"/>
      <w:ind w:left="42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102B6" w14:textId="77777777" w:rsidR="00527682" w:rsidRDefault="00A10BF0">
    <w:pPr>
      <w:spacing w:after="0" w:line="259" w:lineRule="auto"/>
      <w:ind w:left="426" w:firstLine="0"/>
      <w:jc w:val="left"/>
    </w:pPr>
    <w:r>
      <w:rPr>
        <w:noProof/>
      </w:rPr>
      <w:drawing>
        <wp:anchor distT="0" distB="0" distL="114300" distR="114300" simplePos="0" relativeHeight="251660288" behindDoc="0" locked="0" layoutInCell="1" allowOverlap="0" wp14:anchorId="150B3BE2" wp14:editId="6B04FDCD">
          <wp:simplePos x="0" y="0"/>
          <wp:positionH relativeFrom="page">
            <wp:posOffset>900684</wp:posOffset>
          </wp:positionH>
          <wp:positionV relativeFrom="page">
            <wp:posOffset>457200</wp:posOffset>
          </wp:positionV>
          <wp:extent cx="1656588" cy="647700"/>
          <wp:effectExtent l="0" t="0" r="0" b="0"/>
          <wp:wrapSquare wrapText="bothSides"/>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56588" cy="647700"/>
                  </a:xfrm>
                  <a:prstGeom prst="rect">
                    <a:avLst/>
                  </a:prstGeom>
                </pic:spPr>
              </pic:pic>
            </a:graphicData>
          </a:graphic>
        </wp:anchor>
      </w:drawing>
    </w:r>
    <w:r>
      <w:t xml:space="preserve"> </w:t>
    </w:r>
  </w:p>
  <w:p w14:paraId="5361BA69" w14:textId="77777777" w:rsidR="00527682" w:rsidRDefault="00A10BF0">
    <w:pPr>
      <w:spacing w:after="59" w:line="259" w:lineRule="auto"/>
      <w:ind w:left="426" w:firstLine="0"/>
      <w:jc w:val="left"/>
    </w:pPr>
    <w:r>
      <w:rPr>
        <w:i/>
        <w:sz w:val="16"/>
      </w:rPr>
      <w:t xml:space="preserve"> </w:t>
    </w:r>
  </w:p>
  <w:p w14:paraId="6739341F" w14:textId="77777777" w:rsidR="00527682" w:rsidRDefault="00A10BF0">
    <w:pPr>
      <w:spacing w:after="0" w:line="259" w:lineRule="auto"/>
      <w:ind w:left="426"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46C71"/>
    <w:multiLevelType w:val="hybridMultilevel"/>
    <w:tmpl w:val="D9368488"/>
    <w:lvl w:ilvl="0" w:tplc="F7122884">
      <w:start w:val="1"/>
      <w:numFmt w:val="lowerLetter"/>
      <w:lvlText w:val="%1)"/>
      <w:lvlJc w:val="left"/>
      <w:pPr>
        <w:ind w:left="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A286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6F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EF2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DC6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0CAD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A849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C4CB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66DA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F155136"/>
    <w:multiLevelType w:val="hybridMultilevel"/>
    <w:tmpl w:val="7ABABA2A"/>
    <w:lvl w:ilvl="0" w:tplc="7C206B6E">
      <w:start w:val="1"/>
      <w:numFmt w:val="lowerLetter"/>
      <w:lvlText w:val="%1)"/>
      <w:lvlJc w:val="left"/>
      <w:pPr>
        <w:ind w:left="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690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846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B213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E7C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8442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CE92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0A93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20E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A0511D8"/>
    <w:multiLevelType w:val="hybridMultilevel"/>
    <w:tmpl w:val="8CDAEB9E"/>
    <w:lvl w:ilvl="0" w:tplc="9A08C1FE">
      <w:start w:val="1"/>
      <w:numFmt w:val="decimal"/>
      <w:lvlText w:val="%1."/>
      <w:lvlJc w:val="left"/>
      <w:pPr>
        <w:ind w:left="11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60C43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B0F61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D400E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E98775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E6C402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F2AF9A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940190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42C0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82"/>
    <w:rsid w:val="0012791F"/>
    <w:rsid w:val="00371E60"/>
    <w:rsid w:val="00433945"/>
    <w:rsid w:val="00527682"/>
    <w:rsid w:val="00595EAA"/>
    <w:rsid w:val="0073431A"/>
    <w:rsid w:val="00A05618"/>
    <w:rsid w:val="00A10BF0"/>
    <w:rsid w:val="00AF2426"/>
    <w:rsid w:val="00B564CE"/>
    <w:rsid w:val="00E314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8E9F9"/>
  <w15:docId w15:val="{E72801F1-ACE2-49AD-A8FC-F8FA42A5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436"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spacing w:after="0"/>
      <w:ind w:left="436" w:hanging="10"/>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pPr>
      <w:keepNext/>
      <w:keepLines/>
      <w:spacing w:after="0"/>
      <w:ind w:left="436" w:hanging="10"/>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0"/>
      <w:ind w:left="436" w:hanging="10"/>
      <w:outlineLvl w:val="2"/>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4"/>
    </w:rPr>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3Car">
    <w:name w:val="Título 3 Car"/>
    <w:link w:val="Ttulo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595E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95EAA"/>
    <w:rPr>
      <w:rFonts w:ascii="Times New Roman" w:eastAsia="Times New Roman" w:hAnsi="Times New Roman" w:cs="Times New Roman"/>
      <w:color w:val="000000"/>
      <w:sz w:val="20"/>
      <w:szCs w:val="20"/>
    </w:rPr>
  </w:style>
  <w:style w:type="character" w:styleId="Refdenotaalpie">
    <w:name w:val="footnote reference"/>
    <w:basedOn w:val="Fuentedeprrafopredeter"/>
    <w:uiPriority w:val="99"/>
    <w:semiHidden/>
    <w:unhideWhenUsed/>
    <w:rsid w:val="00595EAA"/>
    <w:rPr>
      <w:vertAlign w:val="superscript"/>
    </w:rPr>
  </w:style>
  <w:style w:type="character" w:styleId="Hipervnculo">
    <w:name w:val="Hyperlink"/>
    <w:basedOn w:val="Fuentedeprrafopredeter"/>
    <w:uiPriority w:val="99"/>
    <w:unhideWhenUsed/>
    <w:rsid w:val="00B564CE"/>
    <w:rPr>
      <w:color w:val="0563C1" w:themeColor="hyperlink"/>
      <w:u w:val="single"/>
    </w:rPr>
  </w:style>
  <w:style w:type="character" w:styleId="Mencinsinresolver">
    <w:name w:val="Unresolved Mention"/>
    <w:basedOn w:val="Fuentedeprrafopredeter"/>
    <w:uiPriority w:val="99"/>
    <w:semiHidden/>
    <w:unhideWhenUsed/>
    <w:rsid w:val="00B564C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supen.fi.cr/group/guest/~/control_panel/manage?p_p_id=com_liferay_document_library_web_portlet_DLAdminPortlet&amp;p_p_lifecycle=0&amp;p_p_state=maximized&amp;p_p_mode=view&amp;_com_liferay_document_library_web_portlet_DLAdminPortlet_mvcRenderCommandName=%2Fdocument_library%2Fview_file_entry&amp;_com_liferay_document_library_web_portlet_DLAdminPortlet_fileEntryId=39539&amp;p_p_auth=imSZDBK9&amp;_com_liferay_document_library_web_portlet_DLAdminPortlet_redirect=https%3A%2F%2Fwww.supen.fi.cr%2Fgroup%2Fguest%2F%7E%2Fcontrol_panel%2Fmanage%3Fp_p_id%3Dcom_liferay_document_library_web_portlet_DLAdminPortlet%26p_p_lifecycle%3D0%26p_p_state%3Dmaximized%26p_p_mode%3Dview%26_com_liferay_document_library_web_portlet_DLAdminPortlet_mvcRenderCommandName%3D%252Fdocument_library%252Fview_folder%26_com_liferay_document_library_web_portlet_DLAdminPortlet_folderId%3D40750%26p_p_auth%3DimSZDBK9%26_com_liferay_document_library_web_portlet_DLAdminPortlet_redirect%3Dhttps%253A%252F%252Fwww.supen.fi.cr%252Fgroup%252Fguest%252F%257E%252Fcontrol_panel%252Fmanage%253Fp_p_id%253Dcom_liferay_document_library_web_portlet_DLAdminPortlet%2526p_p_lifecycle%253D0%2526p_p_state%253Dmaximized%2526p_p_mode%253Dview%2526_com_liferay_document_library_web_portlet_DLAdminPortlet_mvcRenderCommandName%253D%25252Fdocument_library%25252Fview_folder%2526_com_liferay_document_library_web_portlet_DLAdminPortlet_folderId%253D38880%2526p_p_auth%253DimSZDBK9%2526_com_liferay_document_library_web_portlet_DLAdminPortlet_redirect%253Dhttps%25253A%25252F%25252Fwww.supen.fi.cr%25252Fgroup%25252Fguest%25252F%25257E%25252Fcontrol_panel%25252Fmanage%25253Fp_p_id%25253Dcom_liferay_document_library_web_portlet_DLAdminPortlet%252526p_p_lifecycle%25253D0%252526p_p_state%25253Dmaximized%252526p_p_mode%25253Dview%252526_com_liferay_document_library_web_portlet_DLAdminPortlet_mvcRenderCommandName%25253D%2525252Fdocument_library%2525252Fview_folder%252526_com_liferay_document_library_web_portlet_DLAdminPortlet_folderId%25253D38111%252526p_p_auth%25253DimSZDBK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2.jpg"/></Relationships>
</file>

<file path=word/_rels/header2.xml.rels><?xml version="1.0" encoding="UTF-8" standalone="yes"?>
<Relationships xmlns="http://schemas.openxmlformats.org/package/2006/relationships"><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1" Type="http://schemas.openxmlformats.org/officeDocument/2006/relationships/image" Target="media/image2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F9E52-02F9-4C9B-A244-057730EC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1182</Words>
  <Characters>6507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DISPOSICIONES  SOBRE LA REMISIÓN DE LA INFORMACIÓN REQUERIDA POR LA SUPERINTENDENCIA DE PENSIONES</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DISPOSICIONES  SOBRE LA REMISIÓN DE LA INFORMACIÓN REQUERIDA POR LA SUPERINTENDENCIA DE PENSIONES</dc:title>
  <dc:subject/>
  <dc:creator>Celia González Haug</dc:creator>
  <cp:keywords/>
  <cp:lastModifiedBy>RODRIGUEZ BOVIERI GIANFRANCO</cp:lastModifiedBy>
  <cp:revision>1</cp:revision>
  <cp:lastPrinted>2018-08-01T21:57:00Z</cp:lastPrinted>
  <dcterms:created xsi:type="dcterms:W3CDTF">2018-08-01T21:52:00Z</dcterms:created>
  <dcterms:modified xsi:type="dcterms:W3CDTF">2022-11-30T00:32:00Z</dcterms:modified>
</cp:coreProperties>
</file>